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永康市政府投资应急工程管理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的起草说明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p>
      <w:pPr>
        <w:pStyle w:val="9"/>
        <w:shd w:val="clear" w:color="auto" w:fill="FFFFFF"/>
        <w:wordWrap w:val="0"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为进一步完善我市政府投资应急工程项目管理机制，规范应急工程管理工作，提高应急工程审批效率，保障工程质量及施工安全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根据市政府主要领导要求，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  <w:t>按照急事急办、特事快办等原则，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结合我市实际，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我局牵头起草了《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实施意见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实施意见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主要包括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四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个方面：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（一）含义与范围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  <w:t>全部或者部分使用各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级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  <w:t>财政性资金的应急工程项目。市属国有企业应急工程项目参照本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意见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  <w:t>执行。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 w:bidi="ar-SA"/>
        </w:rPr>
        <w:t>急工程主要分二大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bidi="ar-SA"/>
        </w:rPr>
        <w:t>类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 w:bidi="ar-SA"/>
        </w:rPr>
        <w:t>，一是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bidi="ar-SA"/>
        </w:rPr>
        <w:t>抢险救灾应急工程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 w:bidi="ar-SA"/>
        </w:rPr>
        <w:t>，具体为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t>自然灾害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-SA"/>
        </w:rPr>
        <w:t>、水利、山体滑坡等8小类；二是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 w:bidi="ar-SA"/>
        </w:rPr>
        <w:t>重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 w:bidi="ar-SA"/>
        </w:rPr>
        <w:t>大活动类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 w:bidi="ar-SA"/>
        </w:rPr>
        <w:t>应急工程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 w:bidi="ar-SA"/>
        </w:rPr>
        <w:t>，为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 w:bidi="ar-SA"/>
        </w:rPr>
        <w:t>因重大活动或其他特殊任务，由上级部门直接下达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bidi="ar-SA"/>
        </w:rPr>
        <w:t>或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 w:bidi="ar-SA"/>
        </w:rPr>
        <w:t>经市委市政府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bidi="ar-SA"/>
        </w:rPr>
        <w:t>认定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 w:bidi="ar-SA"/>
        </w:rPr>
        <w:t>的工程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sz w:val="32"/>
          <w:szCs w:val="32"/>
          <w:lang w:eastAsia="zh-CN" w:bidi="ar-SA"/>
        </w:rPr>
        <w:t>（二）</w:t>
      </w:r>
      <w:r>
        <w:rPr>
          <w:rFonts w:hint="eastAsia" w:ascii="楷体_GB2312" w:hAnsi="楷体_GB2312" w:eastAsia="楷体_GB2312" w:cs="楷体_GB2312"/>
          <w:color w:val="000000"/>
          <w:spacing w:val="0"/>
          <w:sz w:val="32"/>
          <w:szCs w:val="32"/>
          <w:lang w:bidi="ar-SA"/>
        </w:rPr>
        <w:t>决策</w:t>
      </w:r>
      <w:r>
        <w:rPr>
          <w:rFonts w:hint="eastAsia" w:ascii="楷体_GB2312" w:hAnsi="楷体_GB2312" w:eastAsia="楷体_GB2312" w:cs="楷体_GB2312"/>
          <w:color w:val="000000"/>
          <w:spacing w:val="0"/>
          <w:sz w:val="32"/>
          <w:szCs w:val="32"/>
          <w:lang w:eastAsia="zh-CN" w:bidi="ar-SA"/>
        </w:rPr>
        <w:t>程序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建立应急工程项目联席会议制度</w:t>
      </w:r>
      <w:r>
        <w:rPr>
          <w:rFonts w:hint="eastAsia"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由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市政府常务副市长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牵头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，办公室设发改局。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eastAsia="zh-CN" w:bidi="ar-SA"/>
        </w:rPr>
        <w:t>认定程序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lang w:val="en-US" w:eastAsia="zh-CN" w:bidi="ar-SA"/>
        </w:rPr>
        <w:t>须马上进场实施的抢险救灾工程，由现场应急抢险指挥部或联席会议直接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lang w:eastAsia="zh-CN" w:bidi="ar-SA"/>
        </w:rPr>
        <w:t>认定，其余项目按估算投资额分级报备认定。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val="en-US" w:eastAsia="zh-CN" w:bidi="ar-SA"/>
        </w:rPr>
        <w:t>预防性工程、威胁已排除突发事件等4种情形项目不作为应急工程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val="en-US" w:eastAsia="zh-CN" w:bidi="ar-SA"/>
        </w:rPr>
        <w:t>应急工程要严格认定管理，不得化整为零。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638" w:leftChars="0" w:right="0" w:rightChars="0"/>
        <w:jc w:val="both"/>
        <w:textAlignment w:val="auto"/>
        <w:outlineLvl w:val="9"/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（三）组织实施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Cs/>
          <w:color w:val="000000"/>
          <w:sz w:val="32"/>
          <w:szCs w:val="32"/>
          <w:lang w:bidi="ar-SA"/>
        </w:rPr>
        <w:t>应急工程按照“先认定、后审批”原则办理立项审批手续</w:t>
      </w:r>
      <w:r>
        <w:rPr>
          <w:rFonts w:hint="eastAsia" w:cs="仿宋_GB2312"/>
          <w:bCs/>
          <w:color w:val="000000"/>
          <w:sz w:val="32"/>
          <w:szCs w:val="32"/>
          <w:lang w:eastAsia="zh-CN" w:bidi="ar-SA"/>
        </w:rPr>
        <w:t>。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时间要求。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eastAsia="zh-CN" w:bidi="ar-SA"/>
        </w:rPr>
        <w:t>要求突发事件发生或收到通知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 w:bidi="ar-SA"/>
        </w:rPr>
        <w:t>1周内提交项目申请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bidi="ar-SA"/>
        </w:rPr>
        <w:t>开工后1个月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eastAsia="zh-CN" w:bidi="ar-SA"/>
        </w:rPr>
        <w:t>内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bidi="ar-SA"/>
        </w:rPr>
        <w:t>启动审批手续，工程交付使用1个月内完成所有审批事项办理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。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 w:bidi="ar-SA"/>
        </w:rPr>
        <w:t>单位确定。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lang w:eastAsia="zh-CN" w:bidi="ar-SA"/>
        </w:rPr>
        <w:t>不适宜招标的项目可以直接发包，小额工程优先发包给年度中标单位；适宜招标的项目，可采用简易评标法、绿色通道招标。具有施工资质和应急能力的市属国有企业，按决策程序，可直接以委托方式承建应急工程项目。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合同签订。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bidi="ar-SA"/>
        </w:rPr>
        <w:t>建设主体与施工单位签订书面框架合同，确因情况紧急未签订书面框架合同的，实施之日起15日内补签书面框架合同，明确施工单位、建设工期、结算方式、付款方式、验收标准以及质量保证责任等内容。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是</w:t>
      </w:r>
      <w:r>
        <w:rPr>
          <w:rFonts w:hint="eastAsia"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加强管理。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bidi="ar-SA"/>
        </w:rPr>
        <w:t>制定安全施工方案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  <w:t>建设资金专款专用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建成后组织竣工验收，确保按时交付。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楷体_GB2312" w:cs="Times New Roman"/>
          <w:snapToGrid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vertAlign w:val="baseli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snapToGrid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（四）监督责任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由行业主管部门牵头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成立应急工程项目管理小组，</w:t>
      </w:r>
      <w:r>
        <w:rPr>
          <w:rFonts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估算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投资400万元以上的实施全过程跟踪审计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；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  <w:t>财政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  <w:t>、审计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  <w:t>等部门加强应急工程项目的资金监管和审计监督检查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 w:bidi="ar-SA"/>
        </w:rPr>
        <w:t>设计、建设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bidi="ar-SA"/>
        </w:rPr>
        <w:t>单位依法对应急工程质量负责，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eastAsia="zh-CN" w:bidi="ar-SA"/>
        </w:rPr>
        <w:t>承担保修等义务，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bidi="ar-SA"/>
        </w:rPr>
        <w:t>确保工程质量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强化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  <w:t>合同管理和惩戒机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制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 w:bidi="ar-SA"/>
        </w:rPr>
        <w:t>，对竣工验收不合格的，处承担违约责任外，2年内不得参与应急工程。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是</w:t>
      </w:r>
      <w:r>
        <w:rPr>
          <w:rFonts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容错免责。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工作中失误或偏差，但符合相关规定情形的，实行容错免责。对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  <w:t>应急工程实施过程中滥用职权、徇私舞弊、玩忽职守的，依纪依法依规给予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 w:bidi="ar-SA"/>
        </w:rPr>
        <w:t>从重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bidi="ar-SA"/>
        </w:rPr>
        <w:t>处理；涉嫌犯罪的，依法追究刑事责任。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征求意见及协调处理情况</w:t>
      </w:r>
    </w:p>
    <w:p>
      <w:pPr>
        <w:ind w:left="0" w:leftChars="0"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我局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参照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省内其他县（市、区）主要做法和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相关政策，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结合我市实际，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形成《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实施意见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》初稿。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5日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局党组会议讨论研究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实施意见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初稿。12月6日，市府办召集相关部门讨论研究，修改完善后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形成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本次征求意见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_x0004_falt">
    <w:altName w:val="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B40B"/>
    <w:multiLevelType w:val="singleLevel"/>
    <w:tmpl w:val="58AAB4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90DFC"/>
    <w:rsid w:val="2CAC34FB"/>
    <w:rsid w:val="391148B8"/>
    <w:rsid w:val="3EBE3156"/>
    <w:rsid w:val="4A855F31"/>
    <w:rsid w:val="4B6C3CEE"/>
    <w:rsid w:val="5B9B4D09"/>
    <w:rsid w:val="5EA9236B"/>
    <w:rsid w:val="619D1E49"/>
    <w:rsid w:val="63B31AB9"/>
    <w:rsid w:val="688B4B5B"/>
    <w:rsid w:val="7EE37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qFormat/>
    <w:uiPriority w:val="9"/>
    <w:pPr>
      <w:ind w:left="1020"/>
      <w:outlineLvl w:val="1"/>
    </w:pPr>
    <w:rPr>
      <w:rFonts w:ascii="PMingLiU_x0004_falt" w:hAnsi="PMingLiU_x0004_falt" w:eastAsia="PMingLiU_x0004_falt" w:cs="PMingLiU_x0004_falt"/>
      <w:sz w:val="24"/>
      <w:lang w:val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</w:style>
  <w:style w:type="paragraph" w:customStyle="1" w:styleId="3">
    <w:name w:val="正文文本缩进1"/>
    <w:basedOn w:val="1"/>
    <w:qFormat/>
    <w:uiPriority w:val="0"/>
    <w:pPr>
      <w:spacing w:after="120"/>
      <w:ind w:left="200" w:leftChars="200"/>
    </w:pPr>
    <w:rPr>
      <w:rFonts w:ascii="Times New Roman" w:hAnsi="Times New Roman" w:eastAsia="宋体" w:cs="Times New Roman"/>
      <w:lang w:bidi="ar-SA"/>
    </w:rPr>
  </w:style>
  <w:style w:type="paragraph" w:styleId="6">
    <w:name w:val="Normal Indent"/>
    <w:basedOn w:val="1"/>
    <w:qFormat/>
    <w:uiPriority w:val="0"/>
    <w:pPr>
      <w:ind w:firstLine="200" w:firstLineChars="200"/>
    </w:pPr>
    <w:rPr>
      <w:rFonts w:eastAsia="仿宋"/>
    </w:rPr>
  </w:style>
  <w:style w:type="paragraph" w:styleId="7">
    <w:name w:val="Body Text"/>
    <w:basedOn w:val="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 w:val="0"/>
      <w:autoSpaceDN w:val="0"/>
      <w:adjustRightInd w:val="0"/>
      <w:snapToGrid/>
      <w:spacing w:before="0" w:beforeAutospacing="0" w:after="0" w:afterAutospacing="0" w:line="240" w:lineRule="auto"/>
      <w:ind w:left="120" w:right="0" w:firstLine="0"/>
      <w:jc w:val="left"/>
      <w:textAlignment w:val="auto"/>
      <w:outlineLvl w:val="9"/>
    </w:pPr>
    <w:rPr>
      <w:rFonts w:ascii="仿宋_GB2312" w:eastAsia="仿宋_GB2312"/>
      <w:snapToGrid/>
      <w:color w:val="auto"/>
      <w:spacing w:val="0"/>
      <w:w w:val="100"/>
      <w:kern w:val="0"/>
      <w:position w:val="0"/>
      <w:sz w:val="32"/>
      <w:u w:val="none" w:color="auto"/>
      <w:vertAlign w:val="baseline"/>
      <w:lang w:val="en-US" w:eastAsia="zh-CN"/>
    </w:rPr>
  </w:style>
  <w:style w:type="paragraph" w:styleId="8">
    <w:name w:val="table of figures"/>
    <w:basedOn w:val="1"/>
    <w:next w:val="1"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（一）"/>
    <w:basedOn w:val="1"/>
    <w:qFormat/>
    <w:uiPriority w:val="0"/>
    <w:rPr>
      <w:rFonts w:ascii="Calibri" w:hAnsi="Calibri"/>
      <w:b/>
    </w:rPr>
  </w:style>
  <w:style w:type="paragraph" w:customStyle="1" w:styleId="13">
    <w:name w:val="段落仿宋"/>
    <w:basedOn w:val="4"/>
    <w:next w:val="1"/>
    <w:qFormat/>
    <w:uiPriority w:val="0"/>
    <w:pPr>
      <w:spacing w:line="560" w:lineRule="exact"/>
      <w:ind w:firstLine="880" w:firstLineChars="200"/>
      <w:jc w:val="both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小金哥</cp:lastModifiedBy>
  <dcterms:modified xsi:type="dcterms:W3CDTF">2022-12-08T06:54:24Z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