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redHead"/>
      <w:r>
        <w:rPr>
          <w:rFonts w:hint="eastAsia" w:ascii="方正小标宋简体" w:hAnsi="方正小标宋简体" w:eastAsia="方正小标宋简体" w:cs="方正小标宋简体"/>
          <w:sz w:val="44"/>
          <w:szCs w:val="44"/>
          <w:lang w:val="en-US" w:eastAsia="zh-CN"/>
        </w:rPr>
        <w:t>永康市司法局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jc w:val="center"/>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ascii="仿宋_GB2312" w:hAnsi="宋体" w:eastAsia="仿宋_GB2312" w:cs="仿宋_GB2312"/>
          <w:i w:val="0"/>
          <w:caps w:val="0"/>
          <w:color w:val="000000"/>
          <w:spacing w:val="0"/>
          <w:sz w:val="32"/>
          <w:szCs w:val="32"/>
          <w:shd w:val="clear" w:fill="FFFFFF"/>
        </w:rPr>
        <w:t>根据《中华人民共和国政府信息公开条例》和省、市关于推行政府信息公开的有关文件精神，</w:t>
      </w:r>
      <w:r>
        <w:rPr>
          <w:rFonts w:ascii="仿宋_GB2312" w:hAnsi="宋体" w:eastAsia="仿宋_GB2312" w:cs="仿宋_GB2312"/>
          <w:color w:val="000000"/>
          <w:kern w:val="0"/>
          <w:sz w:val="31"/>
          <w:szCs w:val="31"/>
          <w:lang w:val="en-US" w:eastAsia="zh-CN" w:bidi="ar"/>
        </w:rPr>
        <w:t>严格按照国办公开办</w:t>
      </w:r>
      <w:r>
        <w:rPr>
          <w:rFonts w:hint="eastAsia" w:ascii="仿宋_GB2312" w:hAnsi="宋体" w:eastAsia="仿宋_GB2312" w:cs="仿宋_GB2312"/>
          <w:color w:val="000000"/>
          <w:kern w:val="0"/>
          <w:sz w:val="31"/>
          <w:szCs w:val="31"/>
          <w:lang w:val="en-US" w:eastAsia="zh-CN" w:bidi="ar"/>
        </w:rPr>
        <w:t>函〔</w:t>
      </w:r>
      <w:r>
        <w:rPr>
          <w:rFonts w:hint="default" w:ascii="Times New Roman" w:hAnsi="Times New Roman" w:eastAsia="宋体" w:cs="Times New Roman"/>
          <w:color w:val="000000"/>
          <w:kern w:val="0"/>
          <w:sz w:val="31"/>
          <w:szCs w:val="31"/>
          <w:lang w:val="en-US" w:eastAsia="zh-CN" w:bidi="ar"/>
        </w:rPr>
        <w:t>2019</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60</w:t>
      </w:r>
      <w:r>
        <w:rPr>
          <w:rFonts w:hint="eastAsia" w:ascii="仿宋_GB2312" w:hAnsi="宋体" w:eastAsia="仿宋_GB2312" w:cs="仿宋_GB2312"/>
          <w:color w:val="000000"/>
          <w:kern w:val="0"/>
          <w:sz w:val="31"/>
          <w:szCs w:val="31"/>
          <w:lang w:val="en-US" w:eastAsia="zh-CN" w:bidi="ar"/>
        </w:rPr>
        <w:t>号、国办发〔</w:t>
      </w:r>
      <w:r>
        <w:rPr>
          <w:rFonts w:hint="default" w:ascii="Times New Roman" w:hAnsi="Times New Roman" w:eastAsia="宋体" w:cs="Times New 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17</w:t>
      </w:r>
      <w:r>
        <w:rPr>
          <w:rFonts w:hint="eastAsia" w:ascii="仿宋_GB2312" w:hAnsi="宋体" w:eastAsia="仿宋_GB2312" w:cs="仿宋_GB2312"/>
          <w:color w:val="000000"/>
          <w:kern w:val="0"/>
          <w:sz w:val="31"/>
          <w:szCs w:val="31"/>
          <w:lang w:val="en-US" w:eastAsia="zh-CN" w:bidi="ar"/>
        </w:rPr>
        <w:t>号文件要求，</w:t>
      </w:r>
      <w:r>
        <w:rPr>
          <w:rFonts w:hint="eastAsia" w:ascii="仿宋_GB2312" w:hAnsi="仿宋_GB2312" w:eastAsia="仿宋_GB2312" w:cs="仿宋_GB2312"/>
          <w:sz w:val="32"/>
          <w:szCs w:val="32"/>
          <w:lang w:val="en-US" w:eastAsia="zh-CN"/>
        </w:rPr>
        <w:t>认真贯彻</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落实市委、市政府和市公开办的工作部署，永康市司法</w:t>
      </w:r>
      <w:r>
        <w:rPr>
          <w:rFonts w:hint="eastAsia" w:ascii="仿宋_GB2312" w:hAnsi="宋体" w:eastAsia="仿宋_GB2312" w:cs="仿宋_GB2312"/>
          <w:color w:val="000000"/>
          <w:kern w:val="0"/>
          <w:sz w:val="31"/>
          <w:szCs w:val="31"/>
          <w:lang w:val="en-US" w:eastAsia="zh-CN" w:bidi="ar"/>
        </w:rPr>
        <w:t>局</w:t>
      </w:r>
      <w:r>
        <w:rPr>
          <w:rFonts w:hint="eastAsia" w:ascii="仿宋_GB2312" w:hAnsi="仿宋_GB2312" w:eastAsia="仿宋_GB2312" w:cs="仿宋_GB2312"/>
          <w:sz w:val="32"/>
          <w:szCs w:val="32"/>
          <w:lang w:val="en-US" w:eastAsia="zh-CN"/>
        </w:rPr>
        <w:t>扎实推进政府信息公开工作，现将2020年信息公开工作总结如下：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ascii="Helvetica" w:hAnsi="Helvetica" w:eastAsia="Helvetica" w:cs="Helvetica"/>
          <w:i w:val="0"/>
          <w:caps w:val="0"/>
          <w:color w:val="000000"/>
          <w:spacing w:val="0"/>
          <w:sz w:val="27"/>
          <w:szCs w:val="27"/>
        </w:rPr>
      </w:pPr>
      <w:r>
        <w:rPr>
          <w:rFonts w:ascii="黑体" w:hAnsi="宋体" w:eastAsia="黑体" w:cs="黑体"/>
          <w:i w:val="0"/>
          <w:caps w:val="0"/>
          <w:color w:val="333333"/>
          <w:spacing w:val="0"/>
          <w:sz w:val="32"/>
          <w:szCs w:val="32"/>
          <w:shd w:val="clear" w:fill="FFFFFF"/>
        </w:rPr>
        <w:t>一、加强组织领导，严格抓好责任落实</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rFonts w:hint="eastAsia"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我局建立一把手负总责、分管领导主抓、各</w:t>
      </w:r>
      <w:r>
        <w:rPr>
          <w:rFonts w:hint="eastAsia" w:ascii="仿宋_GB2312" w:hAnsi="宋体" w:eastAsia="仿宋_GB2312" w:cs="仿宋_GB2312"/>
          <w:i w:val="0"/>
          <w:caps w:val="0"/>
          <w:color w:val="000000"/>
          <w:spacing w:val="0"/>
          <w:sz w:val="32"/>
          <w:szCs w:val="32"/>
          <w:shd w:val="clear" w:fill="FFFFFF"/>
          <w:lang w:val="en-US" w:eastAsia="zh-CN"/>
        </w:rPr>
        <w:t>科室</w:t>
      </w:r>
      <w:r>
        <w:rPr>
          <w:rFonts w:ascii="仿宋_GB2312" w:hAnsi="宋体" w:eastAsia="仿宋_GB2312" w:cs="仿宋_GB2312"/>
          <w:i w:val="0"/>
          <w:caps w:val="0"/>
          <w:color w:val="000000"/>
          <w:spacing w:val="0"/>
          <w:sz w:val="32"/>
          <w:szCs w:val="32"/>
          <w:shd w:val="clear" w:fill="FFFFFF"/>
        </w:rPr>
        <w:t>共同参与、局办公室专职负责的工作机制，并根据人事变动，对领导小组成员进行及时的调整。推动政务公开工作的开展，明确责任，确定分工，将政务公开工作作为各科室、</w:t>
      </w:r>
      <w:r>
        <w:rPr>
          <w:rFonts w:hint="eastAsia" w:ascii="仿宋_GB2312" w:hAnsi="宋体" w:eastAsia="仿宋_GB2312" w:cs="仿宋_GB2312"/>
          <w:i w:val="0"/>
          <w:caps w:val="0"/>
          <w:color w:val="000000"/>
          <w:spacing w:val="0"/>
          <w:sz w:val="32"/>
          <w:szCs w:val="32"/>
          <w:shd w:val="clear" w:fill="FFFFFF"/>
          <w:lang w:val="en-US" w:eastAsia="zh-CN"/>
        </w:rPr>
        <w:t>司法所</w:t>
      </w:r>
      <w:r>
        <w:rPr>
          <w:rFonts w:ascii="仿宋_GB2312" w:hAnsi="宋体" w:eastAsia="仿宋_GB2312" w:cs="仿宋_GB2312"/>
          <w:i w:val="0"/>
          <w:caps w:val="0"/>
          <w:color w:val="000000"/>
          <w:spacing w:val="0"/>
          <w:sz w:val="32"/>
          <w:szCs w:val="32"/>
          <w:shd w:val="clear" w:fill="FFFFFF"/>
        </w:rPr>
        <w:t>年度考核重要依据，保障政务公开工作落到实处。同时，结合司法行政工作实际，</w:t>
      </w:r>
      <w:r>
        <w:rPr>
          <w:rFonts w:hint="eastAsia" w:ascii="仿宋_GB2312" w:hAnsi="宋体" w:eastAsia="仿宋_GB2312" w:cs="仿宋_GB2312"/>
          <w:i w:val="0"/>
          <w:caps w:val="0"/>
          <w:color w:val="000000"/>
          <w:spacing w:val="0"/>
          <w:sz w:val="32"/>
          <w:szCs w:val="32"/>
          <w:shd w:val="clear" w:fill="FFFFFF"/>
        </w:rPr>
        <w:t>确定工作重点、细化工作任务，深入推进政务公开工作。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lang w:val="en-US" w:eastAsia="zh-CN"/>
        </w:rPr>
        <w:t>二、</w:t>
      </w:r>
      <w:r>
        <w:rPr>
          <w:rFonts w:hint="eastAsia" w:ascii="黑体" w:hAnsi="黑体" w:eastAsia="黑体" w:cs="黑体"/>
          <w:i w:val="0"/>
          <w:caps w:val="0"/>
          <w:color w:val="000000"/>
          <w:spacing w:val="0"/>
          <w:sz w:val="32"/>
          <w:szCs w:val="32"/>
          <w:shd w:val="clear" w:fill="FFFFFF"/>
        </w:rPr>
        <w:t>信息公开总体情况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i w:val="0"/>
          <w:caps w:val="0"/>
          <w:color w:val="000000"/>
          <w:spacing w:val="0"/>
          <w:sz w:val="32"/>
          <w:szCs w:val="32"/>
          <w:shd w:val="clear" w:fill="FFFFFF"/>
        </w:rPr>
      </w:pPr>
      <w:r>
        <w:rPr>
          <w:rFonts w:hint="eastAsia" w:ascii="仿宋_GB2312" w:hAnsi="宋体" w:eastAsia="仿宋_GB2312" w:cs="仿宋_GB2312"/>
          <w:i w:val="0"/>
          <w:caps w:val="0"/>
          <w:color w:val="000000"/>
          <w:spacing w:val="0"/>
          <w:sz w:val="32"/>
          <w:szCs w:val="32"/>
          <w:shd w:val="clear" w:fill="FFFFFF"/>
          <w:lang w:val="en-US" w:eastAsia="zh-CN"/>
        </w:rPr>
        <w:t>1.</w:t>
      </w:r>
      <w:r>
        <w:rPr>
          <w:rFonts w:hint="eastAsia" w:ascii="仿宋_GB2312" w:hAnsi="宋体" w:eastAsia="仿宋_GB2312" w:cs="仿宋_GB2312"/>
          <w:i w:val="0"/>
          <w:caps w:val="0"/>
          <w:color w:val="000000"/>
          <w:spacing w:val="0"/>
          <w:sz w:val="32"/>
          <w:szCs w:val="32"/>
          <w:shd w:val="clear" w:fill="FFFFFF"/>
        </w:rPr>
        <w:t>主动公开情况。我局根据“以公开为原则、不公开为例外”的基本要求，</w:t>
      </w:r>
      <w:r>
        <w:rPr>
          <w:rFonts w:ascii="仿宋_GB2312" w:hAnsi="宋体" w:eastAsia="仿宋_GB2312" w:cs="仿宋_GB2312"/>
          <w:i w:val="0"/>
          <w:caps w:val="0"/>
          <w:color w:val="000000"/>
          <w:spacing w:val="0"/>
          <w:sz w:val="32"/>
          <w:szCs w:val="32"/>
          <w:shd w:val="clear" w:fill="FFFFFF"/>
        </w:rPr>
        <w:t>坚持巩固和完善政务公开渠道，</w:t>
      </w:r>
      <w:r>
        <w:rPr>
          <w:rFonts w:hint="eastAsia" w:ascii="仿宋_GB2312" w:hAnsi="宋体" w:eastAsia="仿宋_GB2312" w:cs="仿宋_GB2312"/>
          <w:i w:val="0"/>
          <w:caps w:val="0"/>
          <w:color w:val="000000"/>
          <w:spacing w:val="0"/>
          <w:sz w:val="32"/>
          <w:szCs w:val="32"/>
          <w:shd w:val="clear" w:fill="FFFFFF"/>
          <w:lang w:val="en-US" w:eastAsia="zh-CN"/>
        </w:rPr>
        <w:t>运用</w:t>
      </w:r>
      <w:r>
        <w:rPr>
          <w:rFonts w:ascii="仿宋_GB2312" w:hAnsi="宋体" w:eastAsia="仿宋_GB2312" w:cs="仿宋_GB2312"/>
          <w:i w:val="0"/>
          <w:caps w:val="0"/>
          <w:color w:val="000000"/>
          <w:spacing w:val="0"/>
          <w:sz w:val="32"/>
          <w:szCs w:val="32"/>
          <w:shd w:val="clear" w:fill="FFFFFF"/>
        </w:rPr>
        <w:t>电子信箱等多种形式，全面开展政务公开工作，政务公开数量、质量和及时性不断提升。同时，在门户网站设立政务公开专栏，全面公布机构概况、科室职能、部门文件等信息，及时公布财务收支预算、行政职权目录及相关办事流程等，</w:t>
      </w:r>
      <w:r>
        <w:rPr>
          <w:rFonts w:hint="eastAsia" w:ascii="仿宋_GB2312" w:hAnsi="宋体" w:eastAsia="仿宋_GB2312" w:cs="仿宋_GB2312"/>
          <w:i w:val="0"/>
          <w:caps w:val="0"/>
          <w:color w:val="000000"/>
          <w:spacing w:val="0"/>
          <w:sz w:val="32"/>
          <w:szCs w:val="32"/>
          <w:shd w:val="clear" w:fill="FFFFFF"/>
        </w:rPr>
        <w:t>并及时更新</w:t>
      </w:r>
      <w:r>
        <w:rPr>
          <w:rFonts w:hint="eastAsia" w:ascii="仿宋_GB2312" w:hAnsi="宋体" w:eastAsia="仿宋_GB2312" w:cs="仿宋_GB2312"/>
          <w:i w:val="0"/>
          <w:caps w:val="0"/>
          <w:color w:val="000000"/>
          <w:spacing w:val="0"/>
          <w:sz w:val="32"/>
          <w:szCs w:val="32"/>
          <w:shd w:val="clear" w:fill="FFFFFF"/>
          <w:lang w:eastAsia="zh-CN"/>
        </w:rPr>
        <w:t>，</w:t>
      </w:r>
      <w:r>
        <w:rPr>
          <w:rFonts w:ascii="仿宋_GB2312" w:hAnsi="宋体" w:eastAsia="仿宋_GB2312" w:cs="仿宋_GB2312"/>
          <w:i w:val="0"/>
          <w:caps w:val="0"/>
          <w:color w:val="000000"/>
          <w:spacing w:val="0"/>
          <w:sz w:val="32"/>
          <w:szCs w:val="32"/>
          <w:shd w:val="clear" w:fill="FFFFFF"/>
        </w:rPr>
        <w:t>促进社会群众全面了解监督司法行政工作</w:t>
      </w:r>
      <w:r>
        <w:rPr>
          <w:rFonts w:hint="eastAsia" w:ascii="仿宋_GB2312" w:hAnsi="宋体" w:eastAsia="仿宋_GB2312" w:cs="仿宋_GB2312"/>
          <w:i w:val="0"/>
          <w:caps w:val="0"/>
          <w:color w:val="000000"/>
          <w:spacing w:val="0"/>
          <w:sz w:val="32"/>
          <w:szCs w:val="32"/>
          <w:shd w:val="clear"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i w:val="0"/>
          <w:caps w:val="0"/>
          <w:color w:val="000000"/>
          <w:spacing w:val="0"/>
          <w:sz w:val="32"/>
          <w:szCs w:val="32"/>
          <w:shd w:val="clear" w:fill="FFFFFF"/>
        </w:rPr>
      </w:pPr>
      <w:r>
        <w:rPr>
          <w:rFonts w:hint="eastAsia" w:ascii="仿宋_GB2312" w:hAnsi="宋体" w:eastAsia="仿宋_GB2312" w:cs="仿宋_GB2312"/>
          <w:i w:val="0"/>
          <w:caps w:val="0"/>
          <w:color w:val="000000"/>
          <w:spacing w:val="0"/>
          <w:sz w:val="32"/>
          <w:szCs w:val="32"/>
          <w:shd w:val="clear" w:fill="FFFFFF"/>
        </w:rPr>
        <w:t>2、依申请公开。我局发布了依申请公开的申请条件及流程说明，明确了申请条件、范围、方式，公示了我局受理依申请公开部门的通信地址、联系电话和电子邮件等，发布了办理流程图和申请表。2020年我局</w:t>
      </w:r>
      <w:r>
        <w:rPr>
          <w:rFonts w:hint="eastAsia" w:ascii="仿宋_GB2312" w:hAnsi="宋体" w:eastAsia="仿宋_GB2312" w:cs="仿宋_GB2312"/>
          <w:i w:val="0"/>
          <w:caps w:val="0"/>
          <w:color w:val="000000"/>
          <w:spacing w:val="0"/>
          <w:sz w:val="32"/>
          <w:szCs w:val="32"/>
          <w:shd w:val="clear" w:fill="FFFFFF"/>
          <w:lang w:val="en-US" w:eastAsia="zh-CN"/>
        </w:rPr>
        <w:t>未有接到</w:t>
      </w:r>
      <w:r>
        <w:rPr>
          <w:rFonts w:hint="eastAsia" w:ascii="仿宋_GB2312" w:hAnsi="宋体" w:eastAsia="仿宋_GB2312" w:cs="仿宋_GB2312"/>
          <w:i w:val="0"/>
          <w:caps w:val="0"/>
          <w:color w:val="000000"/>
          <w:spacing w:val="0"/>
          <w:sz w:val="32"/>
          <w:szCs w:val="32"/>
          <w:shd w:val="clear" w:fill="FFFFFF"/>
        </w:rPr>
        <w:t>政府信息公开申请未发生因政府信息公开被申请行政复议和被提起行政诉讼情况。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val="en-US" w:eastAsia="zh-CN"/>
        </w:rPr>
        <w:t>三、政府信息管理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我局重视加强政务公开工作制度建设，建立健全了《政府信息公开保密审查制度》、《政府信息公开发布审核制度》等相关制度，规范了信息发布工作遵循的“谁审查、谁负责，谁发布、谁负责，先审查、后发布”和“涉密信息不上网，上网信息不涉密”的原则，确保政务公开内容无涉及国家秘密和内部敏感事项。通过建立健全一系列的政务公开工作的相关制度，为本部门政务公开的准确性、权威性、完整性和时效性提供了制度保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val="en-US" w:eastAsia="zh-CN"/>
        </w:rPr>
        <w:t>四、提高公开意识，优化平台建设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进一步加大信息公开力度，不仅重视提高信息数量，更注重提高信息质量，积极参加市政务公开办组织的各类培训会议，并对测评出现的问题进行了积极的整改。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lang w:val="en-US" w:eastAsia="zh-CN"/>
        </w:rPr>
        <w:t>我局主要通过司法局门户网站、“永康普法”微信公众</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lang w:val="en-US" w:eastAsia="zh-CN"/>
        </w:rPr>
        <w:t>号进行信息公开，定期做好公开平台是否存在更新不及时、信息不准确、互动不回应、服务不实用等问题的自查整改工作。2020年我局主动在门户网站公开信息51 条，在“永康普法”微信公众号发布各类动态522条。</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黑体" w:hAnsi="黑体" w:eastAsia="黑体" w:cs="黑体"/>
          <w:i w:val="0"/>
          <w:caps w:val="0"/>
          <w:color w:val="333333"/>
          <w:spacing w:val="0"/>
          <w:sz w:val="32"/>
          <w:szCs w:val="32"/>
          <w:lang w:val="en-US" w:eastAsia="zh-CN"/>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ind w:left="0" w:firstLine="0"/>
        <w:jc w:val="center"/>
        <w:textAlignment w:val="auto"/>
        <w:rPr>
          <w:rFonts w:hint="eastAsia" w:ascii="黑体" w:hAnsi="黑体" w:eastAsia="黑体" w:cs="黑体"/>
          <w:i w:val="0"/>
          <w:caps w:val="0"/>
          <w:color w:val="333333"/>
          <w:spacing w:val="0"/>
          <w:sz w:val="32"/>
          <w:szCs w:val="32"/>
          <w:lang w:val="en-US" w:eastAsia="zh-CN"/>
        </w:rPr>
      </w:pPr>
      <w:r>
        <w:rPr>
          <w:rFonts w:hint="eastAsia" w:ascii="黑体" w:hAnsi="黑体" w:eastAsia="黑体" w:cs="黑体"/>
          <w:i w:val="0"/>
          <w:caps w:val="0"/>
          <w:color w:val="333333"/>
          <w:spacing w:val="0"/>
          <w:sz w:val="32"/>
          <w:szCs w:val="32"/>
          <w:lang w:val="en-US" w:eastAsia="zh-CN"/>
        </w:rPr>
        <w:t>主动公开政府信息情况（2020年度）</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jc w:val="both"/>
        <w:textAlignment w:val="auto"/>
        <w:rPr>
          <w:rFonts w:hint="eastAsia" w:ascii="黑体" w:hAnsi="黑体" w:eastAsia="黑体" w:cs="黑体"/>
          <w:i w:val="0"/>
          <w:caps w:val="0"/>
          <w:color w:val="333333"/>
          <w:spacing w:val="0"/>
          <w:sz w:val="32"/>
          <w:szCs w:val="32"/>
          <w:lang w:val="en-US" w:eastAsia="zh-CN"/>
        </w:rPr>
      </w:pPr>
    </w:p>
    <w:tbl>
      <w:tblPr>
        <w:tblStyle w:val="8"/>
        <w:tblW w:w="882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191"/>
        <w:gridCol w:w="2235"/>
        <w:gridCol w:w="2205"/>
        <w:gridCol w:w="21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1" w:hRule="atLeast"/>
          <w:jc w:val="center"/>
        </w:trPr>
        <w:tc>
          <w:tcPr>
            <w:tcW w:w="8820"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ascii="仿宋_GB2312" w:eastAsia="仿宋_GB2312" w:cs="仿宋_GB2312" w:hAnsiTheme="minorHAnsi"/>
                <w:color w:val="333333"/>
                <w:kern w:val="0"/>
                <w:sz w:val="28"/>
                <w:szCs w:val="28"/>
                <w:lang w:val="en-US" w:eastAsia="zh-CN" w:bidi="ar"/>
              </w:rPr>
              <w:t>第二十条第（一)项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21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信息内容</w:t>
            </w:r>
          </w:p>
        </w:tc>
        <w:tc>
          <w:tcPr>
            <w:tcW w:w="22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本年新制作数量</w:t>
            </w:r>
          </w:p>
        </w:tc>
        <w:tc>
          <w:tcPr>
            <w:tcW w:w="22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本年新公开数量</w:t>
            </w:r>
          </w:p>
        </w:tc>
        <w:tc>
          <w:tcPr>
            <w:tcW w:w="218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对外公开总数量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41" w:hRule="atLeast"/>
          <w:jc w:val="center"/>
        </w:trPr>
        <w:tc>
          <w:tcPr>
            <w:tcW w:w="21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规章</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c>
          <w:tcPr>
            <w:tcW w:w="21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41" w:hRule="atLeast"/>
          <w:jc w:val="center"/>
        </w:trPr>
        <w:tc>
          <w:tcPr>
            <w:tcW w:w="21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规范性文件</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eastAsia="仿宋_GB2312" w:cs="仿宋_GB2312" w:hAnsiTheme="minorHAnsi"/>
                <w:color w:val="333333"/>
                <w:kern w:val="0"/>
                <w:sz w:val="28"/>
                <w:szCs w:val="28"/>
                <w:lang w:val="en-US" w:eastAsia="zh-CN" w:bidi="ar"/>
              </w:rPr>
            </w:pPr>
            <w:r>
              <w:rPr>
                <w:rFonts w:hint="eastAsia" w:ascii="仿宋_GB2312" w:eastAsia="仿宋_GB2312" w:cs="仿宋_GB2312"/>
                <w:color w:val="333333"/>
                <w:kern w:val="0"/>
                <w:sz w:val="28"/>
                <w:szCs w:val="28"/>
                <w:lang w:val="en-US" w:eastAsia="zh-CN" w:bidi="ar"/>
              </w:rPr>
              <w:t>0</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eastAsia="仿宋_GB2312" w:cs="仿宋_GB2312" w:hAnsiTheme="minorHAnsi"/>
                <w:color w:val="333333"/>
                <w:kern w:val="0"/>
                <w:sz w:val="28"/>
                <w:szCs w:val="28"/>
                <w:lang w:val="en-US" w:eastAsia="zh-CN" w:bidi="ar"/>
              </w:rPr>
            </w:pPr>
            <w:r>
              <w:rPr>
                <w:rFonts w:hint="eastAsia" w:ascii="仿宋_GB2312" w:eastAsia="仿宋_GB2312" w:cs="仿宋_GB2312" w:hAnsiTheme="minorHAnsi"/>
                <w:color w:val="333333"/>
                <w:kern w:val="0"/>
                <w:sz w:val="28"/>
                <w:szCs w:val="28"/>
                <w:lang w:val="en-US" w:eastAsia="zh-CN" w:bidi="ar"/>
              </w:rPr>
              <w:t>0</w:t>
            </w:r>
          </w:p>
        </w:tc>
        <w:tc>
          <w:tcPr>
            <w:tcW w:w="21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eastAsia="仿宋_GB2312" w:cs="仿宋_GB2312" w:hAnsiTheme="minorHAnsi"/>
                <w:color w:val="333333"/>
                <w:kern w:val="0"/>
                <w:sz w:val="28"/>
                <w:szCs w:val="28"/>
                <w:lang w:val="en-US" w:eastAsia="zh-CN" w:bidi="ar"/>
              </w:rPr>
            </w:pPr>
            <w:r>
              <w:rPr>
                <w:rFonts w:hint="eastAsia" w:ascii="仿宋_GB2312" w:eastAsia="仿宋_GB2312" w:cs="仿宋_GB2312" w:hAnsiTheme="minorHAnsi"/>
                <w:color w:val="333333"/>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97" w:hRule="atLeast"/>
          <w:jc w:val="center"/>
        </w:trPr>
        <w:tc>
          <w:tcPr>
            <w:tcW w:w="882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第二十条第（五）项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41" w:hRule="atLeast"/>
          <w:jc w:val="center"/>
        </w:trPr>
        <w:tc>
          <w:tcPr>
            <w:tcW w:w="21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信息内容</w:t>
            </w:r>
          </w:p>
        </w:tc>
        <w:tc>
          <w:tcPr>
            <w:tcW w:w="22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上一年项目数量</w:t>
            </w:r>
          </w:p>
        </w:tc>
        <w:tc>
          <w:tcPr>
            <w:tcW w:w="22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本年增/减</w:t>
            </w:r>
          </w:p>
        </w:tc>
        <w:tc>
          <w:tcPr>
            <w:tcW w:w="218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处理决定数量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41" w:hRule="atLeast"/>
          <w:jc w:val="center"/>
        </w:trPr>
        <w:tc>
          <w:tcPr>
            <w:tcW w:w="21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行政许可</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color w:val="333333"/>
                <w:kern w:val="0"/>
                <w:sz w:val="28"/>
                <w:szCs w:val="28"/>
                <w:lang w:val="en-US" w:eastAsia="zh-CN" w:bidi="ar"/>
              </w:rPr>
              <w:t>0</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eastAsia="仿宋_GB2312" w:cs="仿宋_GB2312" w:hAnsiTheme="minorHAnsi"/>
                <w:color w:val="333333"/>
                <w:kern w:val="0"/>
                <w:sz w:val="28"/>
                <w:szCs w:val="28"/>
                <w:lang w:val="en-US" w:eastAsia="zh-CN" w:bidi="ar"/>
              </w:rPr>
            </w:pPr>
            <w:r>
              <w:rPr>
                <w:rFonts w:hint="eastAsia" w:ascii="仿宋_GB2312" w:eastAsia="仿宋_GB2312" w:cs="仿宋_GB2312" w:hAnsiTheme="minorHAnsi"/>
                <w:color w:val="333333"/>
                <w:kern w:val="0"/>
                <w:sz w:val="28"/>
                <w:szCs w:val="28"/>
                <w:lang w:val="en-US" w:eastAsia="zh-CN" w:bidi="ar"/>
              </w:rPr>
              <w:t>0</w:t>
            </w:r>
          </w:p>
        </w:tc>
        <w:tc>
          <w:tcPr>
            <w:tcW w:w="21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eastAsia="仿宋_GB2312" w:cs="仿宋_GB2312" w:hAnsiTheme="minorHAnsi"/>
                <w:color w:val="333333"/>
                <w:kern w:val="0"/>
                <w:sz w:val="28"/>
                <w:szCs w:val="28"/>
                <w:lang w:val="en-US" w:eastAsia="zh-CN" w:bidi="ar"/>
              </w:rPr>
            </w:pPr>
            <w:r>
              <w:rPr>
                <w:rFonts w:hint="eastAsia" w:ascii="仿宋_GB2312" w:eastAsia="仿宋_GB2312" w:cs="仿宋_GB2312" w:hAnsiTheme="minorHAnsi"/>
                <w:color w:val="333333"/>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93" w:hRule="atLeast"/>
          <w:jc w:val="center"/>
        </w:trPr>
        <w:tc>
          <w:tcPr>
            <w:tcW w:w="21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其他对外管理服务事项</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c>
          <w:tcPr>
            <w:tcW w:w="21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41" w:hRule="atLeast"/>
          <w:jc w:val="center"/>
        </w:trPr>
        <w:tc>
          <w:tcPr>
            <w:tcW w:w="882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第二十条第（六）项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41" w:hRule="atLeast"/>
          <w:jc w:val="center"/>
        </w:trPr>
        <w:tc>
          <w:tcPr>
            <w:tcW w:w="21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信息内容</w:t>
            </w:r>
          </w:p>
        </w:tc>
        <w:tc>
          <w:tcPr>
            <w:tcW w:w="22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上一年项目数量</w:t>
            </w:r>
          </w:p>
        </w:tc>
        <w:tc>
          <w:tcPr>
            <w:tcW w:w="22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本年增/减</w:t>
            </w:r>
          </w:p>
        </w:tc>
        <w:tc>
          <w:tcPr>
            <w:tcW w:w="218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处理决定数量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41" w:hRule="atLeast"/>
          <w:jc w:val="center"/>
        </w:trPr>
        <w:tc>
          <w:tcPr>
            <w:tcW w:w="21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行政处罚</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c>
          <w:tcPr>
            <w:tcW w:w="21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41" w:hRule="atLeast"/>
          <w:jc w:val="center"/>
        </w:trPr>
        <w:tc>
          <w:tcPr>
            <w:tcW w:w="21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行政强制</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c>
          <w:tcPr>
            <w:tcW w:w="21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41" w:hRule="atLeast"/>
          <w:jc w:val="center"/>
        </w:trPr>
        <w:tc>
          <w:tcPr>
            <w:tcW w:w="882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第二十条第（八）项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41" w:hRule="atLeast"/>
          <w:jc w:val="center"/>
        </w:trPr>
        <w:tc>
          <w:tcPr>
            <w:tcW w:w="21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信息内容</w:t>
            </w:r>
          </w:p>
        </w:tc>
        <w:tc>
          <w:tcPr>
            <w:tcW w:w="22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上一年项目数量</w:t>
            </w:r>
          </w:p>
        </w:tc>
        <w:tc>
          <w:tcPr>
            <w:tcW w:w="4394"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本年增/减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41" w:hRule="atLeast"/>
          <w:jc w:val="center"/>
        </w:trPr>
        <w:tc>
          <w:tcPr>
            <w:tcW w:w="219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行政事业性收费</w:t>
            </w:r>
          </w:p>
        </w:tc>
        <w:tc>
          <w:tcPr>
            <w:tcW w:w="2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c>
          <w:tcPr>
            <w:tcW w:w="439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41" w:hRule="atLeast"/>
          <w:jc w:val="center"/>
        </w:trPr>
        <w:tc>
          <w:tcPr>
            <w:tcW w:w="882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第二十条第（九）项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41" w:hRule="atLeast"/>
          <w:jc w:val="center"/>
        </w:trPr>
        <w:tc>
          <w:tcPr>
            <w:tcW w:w="2191"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信息内容</w:t>
            </w:r>
          </w:p>
        </w:tc>
        <w:tc>
          <w:tcPr>
            <w:tcW w:w="2235"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采购项目数量</w:t>
            </w:r>
          </w:p>
        </w:tc>
        <w:tc>
          <w:tcPr>
            <w:tcW w:w="4394" w:type="dxa"/>
            <w:gridSpan w:val="2"/>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采购总金额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51" w:hRule="atLeast"/>
          <w:jc w:val="center"/>
        </w:trPr>
        <w:tc>
          <w:tcPr>
            <w:tcW w:w="2191" w:type="dxa"/>
            <w:tcBorders>
              <w:top w:val="nil"/>
              <w:left w:val="single" w:color="auto" w:sz="8" w:space="0"/>
              <w:bottom w:val="single" w:color="auto" w:sz="8" w:space="0"/>
              <w:right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hAnsiTheme="minorHAnsi"/>
                <w:color w:val="333333"/>
                <w:kern w:val="0"/>
                <w:sz w:val="28"/>
                <w:szCs w:val="28"/>
                <w:lang w:val="en-US" w:eastAsia="zh-CN" w:bidi="ar"/>
              </w:rPr>
              <w:t>政府集中采购</w:t>
            </w:r>
          </w:p>
        </w:tc>
        <w:tc>
          <w:tcPr>
            <w:tcW w:w="2235"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color w:val="333333"/>
                <w:kern w:val="0"/>
                <w:sz w:val="28"/>
                <w:szCs w:val="28"/>
                <w:lang w:val="en-US" w:eastAsia="zh-CN" w:bidi="ar"/>
              </w:rPr>
              <w:t>6</w:t>
            </w:r>
          </w:p>
        </w:tc>
        <w:tc>
          <w:tcPr>
            <w:tcW w:w="439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333333"/>
              </w:rPr>
            </w:pPr>
            <w:r>
              <w:rPr>
                <w:rFonts w:hint="eastAsia" w:ascii="仿宋_GB2312" w:eastAsia="仿宋_GB2312" w:cs="仿宋_GB2312"/>
                <w:color w:val="333333"/>
                <w:kern w:val="0"/>
                <w:sz w:val="28"/>
                <w:szCs w:val="28"/>
                <w:lang w:val="en-US" w:eastAsia="zh-CN" w:bidi="ar"/>
              </w:rPr>
              <w:t>380479.6</w:t>
            </w:r>
            <w:r>
              <w:rPr>
                <w:rFonts w:hint="eastAsia" w:ascii="仿宋_GB2312" w:eastAsia="仿宋_GB2312" w:cs="仿宋_GB2312" w:hAnsiTheme="minorHAnsi"/>
                <w:color w:val="333333"/>
                <w:kern w:val="0"/>
                <w:sz w:val="28"/>
                <w:szCs w:val="28"/>
                <w:lang w:val="en-US" w:eastAsia="zh-CN" w:bidi="ar"/>
              </w:rPr>
              <w:t>元</w:t>
            </w:r>
          </w:p>
        </w:tc>
      </w:tr>
    </w:tbl>
    <w:tbl>
      <w:tblPr>
        <w:tblStyle w:val="8"/>
        <w:tblpPr w:leftFromText="180" w:rightFromText="180" w:vertAnchor="text" w:horzAnchor="page" w:tblpX="1337" w:tblpY="876"/>
        <w:tblOverlap w:val="never"/>
        <w:tblW w:w="9350" w:type="dxa"/>
        <w:tblInd w:w="0" w:type="dxa"/>
        <w:shd w:val="clear" w:color="auto" w:fill="auto"/>
        <w:tblLayout w:type="autofit"/>
        <w:tblCellMar>
          <w:top w:w="15" w:type="dxa"/>
          <w:left w:w="15" w:type="dxa"/>
          <w:bottom w:w="15" w:type="dxa"/>
          <w:right w:w="15" w:type="dxa"/>
        </w:tblCellMar>
      </w:tblPr>
      <w:tblGrid>
        <w:gridCol w:w="480"/>
        <w:gridCol w:w="780"/>
        <w:gridCol w:w="3015"/>
        <w:gridCol w:w="765"/>
        <w:gridCol w:w="765"/>
        <w:gridCol w:w="765"/>
        <w:gridCol w:w="765"/>
        <w:gridCol w:w="765"/>
        <w:gridCol w:w="620"/>
        <w:gridCol w:w="630"/>
      </w:tblGrid>
      <w:tr>
        <w:tblPrEx>
          <w:shd w:val="clear" w:color="auto" w:fill="auto"/>
          <w:tblCellMar>
            <w:top w:w="15" w:type="dxa"/>
            <w:left w:w="15" w:type="dxa"/>
            <w:bottom w:w="15" w:type="dxa"/>
            <w:right w:w="15" w:type="dxa"/>
          </w:tblCellMar>
        </w:tblPrEx>
        <w:trPr>
          <w:trHeight w:val="360" w:hRule="atLeast"/>
        </w:trPr>
        <w:tc>
          <w:tcPr>
            <w:tcW w:w="4275"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hint="eastAsia" w:ascii="宋体" w:hAnsi="宋体" w:eastAsia="宋体" w:cs="宋体"/>
                <w:color w:val="333333"/>
                <w:kern w:val="0"/>
                <w:sz w:val="20"/>
                <w:szCs w:val="20"/>
                <w:lang w:val="en-US" w:eastAsia="zh-CN" w:bidi="ar"/>
              </w:rPr>
              <w:t>（本列数据的勾稽关系为：第一项加第二项之和，等于第三项加第四项之和）</w:t>
            </w:r>
          </w:p>
        </w:tc>
        <w:tc>
          <w:tcPr>
            <w:tcW w:w="5075" w:type="dxa"/>
            <w:gridSpan w:val="7"/>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color w:val="333333"/>
              </w:rPr>
            </w:pPr>
            <w:r>
              <w:rPr>
                <w:rFonts w:hint="eastAsia" w:ascii="宋体" w:hAnsi="宋体" w:eastAsia="宋体" w:cs="宋体"/>
                <w:color w:val="333333"/>
                <w:kern w:val="0"/>
                <w:sz w:val="20"/>
                <w:szCs w:val="20"/>
                <w:lang w:val="en-US" w:eastAsia="zh-CN" w:bidi="ar"/>
              </w:rPr>
              <w:t>申请人情况</w:t>
            </w:r>
          </w:p>
        </w:tc>
      </w:tr>
      <w:tr>
        <w:tblPrEx>
          <w:tblCellMar>
            <w:top w:w="15" w:type="dxa"/>
            <w:left w:w="15" w:type="dxa"/>
            <w:bottom w:w="15" w:type="dxa"/>
            <w:right w:w="15" w:type="dxa"/>
          </w:tblCellMar>
        </w:tblPrEx>
        <w:trPr>
          <w:trHeight w:val="360" w:hRule="atLeast"/>
        </w:trPr>
        <w:tc>
          <w:tcPr>
            <w:tcW w:w="4275"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65" w:type="dxa"/>
            <w:vMerge w:val="restart"/>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color w:val="333333"/>
              </w:rPr>
            </w:pPr>
            <w:r>
              <w:rPr>
                <w:rFonts w:hint="eastAsia" w:ascii="宋体" w:hAnsi="宋体" w:eastAsia="宋体" w:cs="宋体"/>
                <w:color w:val="333333"/>
                <w:kern w:val="0"/>
                <w:sz w:val="20"/>
                <w:szCs w:val="20"/>
                <w:lang w:val="en-US" w:eastAsia="zh-CN" w:bidi="ar"/>
              </w:rPr>
              <w:t>自然人</w:t>
            </w:r>
          </w:p>
        </w:tc>
        <w:tc>
          <w:tcPr>
            <w:tcW w:w="3680" w:type="dxa"/>
            <w:gridSpan w:val="5"/>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color w:val="333333"/>
              </w:rPr>
            </w:pPr>
            <w:r>
              <w:rPr>
                <w:rFonts w:hint="eastAsia" w:ascii="宋体" w:hAnsi="宋体" w:eastAsia="宋体" w:cs="宋体"/>
                <w:color w:val="333333"/>
                <w:kern w:val="0"/>
                <w:sz w:val="20"/>
                <w:szCs w:val="20"/>
                <w:lang w:val="en-US" w:eastAsia="zh-CN" w:bidi="ar"/>
              </w:rPr>
              <w:t>法人或其他组织</w:t>
            </w:r>
          </w:p>
        </w:tc>
        <w:tc>
          <w:tcPr>
            <w:tcW w:w="630" w:type="dxa"/>
            <w:vMerge w:val="restart"/>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color w:val="333333"/>
              </w:rPr>
            </w:pPr>
            <w:r>
              <w:rPr>
                <w:rFonts w:hint="eastAsia" w:ascii="宋体" w:hAnsi="宋体" w:eastAsia="宋体" w:cs="宋体"/>
                <w:color w:val="333333"/>
                <w:kern w:val="0"/>
                <w:sz w:val="20"/>
                <w:szCs w:val="20"/>
                <w:lang w:val="en-US" w:eastAsia="zh-CN" w:bidi="ar"/>
              </w:rPr>
              <w:t>总计</w:t>
            </w:r>
          </w:p>
        </w:tc>
      </w:tr>
      <w:tr>
        <w:tblPrEx>
          <w:tblCellMar>
            <w:top w:w="15" w:type="dxa"/>
            <w:left w:w="15" w:type="dxa"/>
            <w:bottom w:w="15" w:type="dxa"/>
            <w:right w:w="15" w:type="dxa"/>
          </w:tblCellMar>
        </w:tblPrEx>
        <w:trPr>
          <w:trHeight w:val="555" w:hRule="atLeast"/>
        </w:trPr>
        <w:tc>
          <w:tcPr>
            <w:tcW w:w="4275"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65"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color w:val="333333"/>
              </w:rPr>
            </w:pPr>
            <w:r>
              <w:rPr>
                <w:rFonts w:hint="eastAsia" w:ascii="宋体" w:hAnsi="宋体" w:eastAsia="宋体" w:cs="宋体"/>
                <w:color w:val="333333"/>
                <w:kern w:val="0"/>
                <w:sz w:val="20"/>
                <w:szCs w:val="20"/>
                <w:lang w:val="en-US" w:eastAsia="zh-CN" w:bidi="ar"/>
              </w:rPr>
              <w:t>商业企业</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color w:val="333333"/>
              </w:rPr>
            </w:pPr>
            <w:r>
              <w:rPr>
                <w:rFonts w:hint="eastAsia" w:ascii="宋体" w:hAnsi="宋体" w:eastAsia="宋体" w:cs="宋体"/>
                <w:color w:val="333333"/>
                <w:kern w:val="0"/>
                <w:sz w:val="20"/>
                <w:szCs w:val="20"/>
                <w:lang w:val="en-US" w:eastAsia="zh-CN" w:bidi="ar"/>
              </w:rPr>
              <w:t>科研机构</w:t>
            </w:r>
          </w:p>
        </w:tc>
        <w:tc>
          <w:tcPr>
            <w:tcW w:w="765"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color w:val="333333"/>
              </w:rPr>
            </w:pPr>
            <w:r>
              <w:rPr>
                <w:rFonts w:hint="eastAsia" w:ascii="宋体" w:hAnsi="宋体" w:eastAsia="宋体" w:cs="宋体"/>
                <w:color w:val="333333"/>
                <w:kern w:val="0"/>
                <w:sz w:val="20"/>
                <w:szCs w:val="20"/>
                <w:lang w:val="en-US" w:eastAsia="zh-CN" w:bidi="ar"/>
              </w:rPr>
              <w:t>社会公益组织</w:t>
            </w:r>
          </w:p>
        </w:tc>
        <w:tc>
          <w:tcPr>
            <w:tcW w:w="765"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color w:val="333333"/>
              </w:rPr>
            </w:pPr>
            <w:r>
              <w:rPr>
                <w:rFonts w:hint="eastAsia" w:ascii="宋体" w:hAnsi="宋体" w:eastAsia="宋体" w:cs="宋体"/>
                <w:color w:val="333333"/>
                <w:kern w:val="0"/>
                <w:sz w:val="20"/>
                <w:szCs w:val="20"/>
                <w:lang w:val="en-US" w:eastAsia="zh-CN" w:bidi="ar"/>
              </w:rPr>
              <w:t>法律服务机构</w:t>
            </w:r>
          </w:p>
        </w:tc>
        <w:tc>
          <w:tcPr>
            <w:tcW w:w="620"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color w:val="333333"/>
              </w:rPr>
            </w:pPr>
            <w:r>
              <w:rPr>
                <w:rFonts w:hint="eastAsia" w:ascii="宋体" w:hAnsi="宋体" w:eastAsia="宋体" w:cs="宋体"/>
                <w:color w:val="333333"/>
                <w:kern w:val="0"/>
                <w:sz w:val="20"/>
                <w:szCs w:val="20"/>
                <w:lang w:val="en-US" w:eastAsia="zh-CN" w:bidi="ar"/>
              </w:rPr>
              <w:t>其他</w:t>
            </w:r>
          </w:p>
        </w:tc>
        <w:tc>
          <w:tcPr>
            <w:tcW w:w="630" w:type="dxa"/>
            <w:vMerge w:val="continue"/>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r>
      <w:tr>
        <w:tblPrEx>
          <w:tblCellMar>
            <w:top w:w="15" w:type="dxa"/>
            <w:left w:w="15" w:type="dxa"/>
            <w:bottom w:w="15" w:type="dxa"/>
            <w:right w:w="15" w:type="dxa"/>
          </w:tblCellMar>
        </w:tblPrEx>
        <w:trPr>
          <w:trHeight w:val="420" w:hRule="atLeast"/>
        </w:trPr>
        <w:tc>
          <w:tcPr>
            <w:tcW w:w="4275" w:type="dxa"/>
            <w:gridSpan w:val="3"/>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hint="eastAsia" w:ascii="宋体" w:hAnsi="宋体" w:eastAsia="宋体" w:cs="宋体"/>
                <w:color w:val="333333"/>
                <w:kern w:val="0"/>
                <w:sz w:val="20"/>
                <w:szCs w:val="20"/>
                <w:lang w:val="en-US" w:eastAsia="zh-CN" w:bidi="ar"/>
              </w:rPr>
              <w:t>一、本年新收政府信息公开申请数量</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rFonts w:hint="eastAsia" w:eastAsiaTheme="minorEastAsia"/>
                <w:color w:val="333333"/>
                <w:lang w:val="en-US" w:eastAsia="zh-CN"/>
              </w:rPr>
            </w:pPr>
            <w:r>
              <w:rPr>
                <w:rFonts w:hint="eastAsia"/>
                <w:color w:val="333333"/>
                <w:lang w:val="en-US" w:eastAsia="zh-CN"/>
              </w:rPr>
              <w:t>0</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rFonts w:hint="eastAsia" w:eastAsiaTheme="minorEastAsia"/>
                <w:color w:val="333333"/>
                <w:lang w:val="en-US" w:eastAsia="zh-CN"/>
              </w:rPr>
            </w:pPr>
            <w:r>
              <w:rPr>
                <w:rFonts w:hint="eastAsia"/>
                <w:color w:val="333333"/>
                <w:lang w:val="en-US" w:eastAsia="zh-CN"/>
              </w:rPr>
              <w:t>0</w:t>
            </w:r>
          </w:p>
        </w:tc>
      </w:tr>
      <w:tr>
        <w:tblPrEx>
          <w:tblCellMar>
            <w:top w:w="15" w:type="dxa"/>
            <w:left w:w="15" w:type="dxa"/>
            <w:bottom w:w="15" w:type="dxa"/>
            <w:right w:w="15" w:type="dxa"/>
          </w:tblCellMar>
        </w:tblPrEx>
        <w:trPr>
          <w:trHeight w:val="420" w:hRule="atLeast"/>
        </w:trPr>
        <w:tc>
          <w:tcPr>
            <w:tcW w:w="4275" w:type="dxa"/>
            <w:gridSpan w:val="3"/>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hint="eastAsia" w:ascii="宋体" w:hAnsi="宋体" w:eastAsia="宋体" w:cs="宋体"/>
                <w:color w:val="333333"/>
                <w:kern w:val="0"/>
                <w:sz w:val="20"/>
                <w:szCs w:val="20"/>
                <w:lang w:val="en-US" w:eastAsia="zh-CN" w:bidi="ar"/>
              </w:rPr>
              <w:t>二、上年结转政府信息公开申请数量</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420" w:hRule="atLeast"/>
        </w:trPr>
        <w:tc>
          <w:tcPr>
            <w:tcW w:w="480" w:type="dxa"/>
            <w:vMerge w:val="restart"/>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color w:val="333333"/>
              </w:rPr>
            </w:pPr>
            <w:r>
              <w:rPr>
                <w:rFonts w:hint="eastAsia" w:ascii="宋体" w:hAnsi="宋体" w:eastAsia="宋体" w:cs="宋体"/>
                <w:color w:val="333333"/>
                <w:kern w:val="0"/>
                <w:sz w:val="20"/>
                <w:szCs w:val="20"/>
                <w:lang w:val="en-US" w:eastAsia="zh-CN" w:bidi="ar"/>
              </w:rPr>
              <w:t>三、本年度办理结果</w:t>
            </w:r>
          </w:p>
        </w:tc>
        <w:tc>
          <w:tcPr>
            <w:tcW w:w="3795" w:type="dxa"/>
            <w:gridSpan w:val="2"/>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楷体" w:hAnsi="楷体" w:eastAsia="楷体" w:cs="楷体"/>
                <w:color w:val="333333"/>
                <w:kern w:val="0"/>
                <w:sz w:val="20"/>
                <w:szCs w:val="20"/>
                <w:lang w:val="en-US" w:eastAsia="zh-CN" w:bidi="ar"/>
              </w:rPr>
              <w:t>（一）予以公开</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795" w:type="dxa"/>
            <w:gridSpan w:val="2"/>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hint="eastAsia" w:ascii="楷体" w:hAnsi="楷体" w:eastAsia="楷体" w:cs="楷体"/>
                <w:color w:val="333333"/>
                <w:kern w:val="0"/>
                <w:sz w:val="20"/>
                <w:szCs w:val="20"/>
                <w:lang w:val="en-US" w:eastAsia="zh-CN" w:bidi="ar"/>
              </w:rPr>
              <w:t>（二）部分公开（区分处理的，只计这一情形，不计其他情形）</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42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restart"/>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hint="eastAsia" w:ascii="楷体" w:hAnsi="楷体" w:eastAsia="楷体" w:cs="楷体"/>
                <w:color w:val="333333"/>
                <w:kern w:val="0"/>
                <w:sz w:val="20"/>
                <w:szCs w:val="20"/>
                <w:lang w:val="en-US" w:eastAsia="zh-CN" w:bidi="ar"/>
              </w:rPr>
              <w:t>（三）不予公开</w:t>
            </w: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1.</w:t>
            </w:r>
            <w:r>
              <w:rPr>
                <w:rFonts w:hint="eastAsia" w:ascii="楷体" w:hAnsi="楷体" w:eastAsia="楷体" w:cs="楷体"/>
                <w:color w:val="333333"/>
                <w:kern w:val="0"/>
                <w:sz w:val="20"/>
                <w:szCs w:val="20"/>
                <w:lang w:val="en-US" w:eastAsia="zh-CN" w:bidi="ar"/>
              </w:rPr>
              <w:t>属于国家秘密</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42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2.</w:t>
            </w:r>
            <w:r>
              <w:rPr>
                <w:rFonts w:hint="eastAsia" w:ascii="楷体" w:hAnsi="楷体" w:eastAsia="楷体" w:cs="楷体"/>
                <w:color w:val="333333"/>
                <w:kern w:val="0"/>
                <w:sz w:val="20"/>
                <w:szCs w:val="20"/>
                <w:lang w:val="en-US" w:eastAsia="zh-CN" w:bidi="ar"/>
              </w:rPr>
              <w:t>其他法律行政法规禁止公开</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42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3.</w:t>
            </w:r>
            <w:r>
              <w:rPr>
                <w:rFonts w:hint="eastAsia" w:ascii="楷体" w:hAnsi="楷体" w:eastAsia="楷体" w:cs="楷体"/>
                <w:color w:val="333333"/>
                <w:kern w:val="0"/>
                <w:sz w:val="20"/>
                <w:szCs w:val="20"/>
                <w:lang w:val="en-US" w:eastAsia="zh-CN" w:bidi="ar"/>
              </w:rPr>
              <w:t>危及</w:t>
            </w:r>
            <w:r>
              <w:rPr>
                <w:rFonts w:asciiTheme="minorHAnsi" w:hAnsiTheme="minorHAnsi" w:eastAsiaTheme="minorEastAsia" w:cstheme="minorBidi"/>
                <w:color w:val="333333"/>
                <w:kern w:val="0"/>
                <w:sz w:val="24"/>
                <w:szCs w:val="24"/>
                <w:lang w:val="en-US" w:eastAsia="zh-CN" w:bidi="ar"/>
              </w:rPr>
              <w:t>“</w:t>
            </w:r>
            <w:r>
              <w:rPr>
                <w:rFonts w:hint="eastAsia" w:ascii="楷体" w:hAnsi="楷体" w:eastAsia="楷体" w:cs="楷体"/>
                <w:color w:val="333333"/>
                <w:kern w:val="0"/>
                <w:sz w:val="20"/>
                <w:szCs w:val="20"/>
                <w:lang w:val="en-US" w:eastAsia="zh-CN" w:bidi="ar"/>
              </w:rPr>
              <w:t>三安全一稳定</w:t>
            </w:r>
            <w:r>
              <w:rPr>
                <w:rFonts w:asciiTheme="minorHAnsi" w:hAnsiTheme="minorHAnsi" w:eastAsiaTheme="minorEastAsia" w:cstheme="minorBidi"/>
                <w:color w:val="333333"/>
                <w:kern w:val="0"/>
                <w:sz w:val="24"/>
                <w:szCs w:val="24"/>
                <w:lang w:val="en-US" w:eastAsia="zh-CN" w:bidi="ar"/>
              </w:rPr>
              <w:t>”</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42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4.</w:t>
            </w:r>
            <w:r>
              <w:rPr>
                <w:rFonts w:hint="eastAsia" w:ascii="楷体" w:hAnsi="楷体" w:eastAsia="楷体" w:cs="楷体"/>
                <w:color w:val="333333"/>
                <w:kern w:val="0"/>
                <w:sz w:val="20"/>
                <w:szCs w:val="20"/>
                <w:lang w:val="en-US" w:eastAsia="zh-CN" w:bidi="ar"/>
              </w:rPr>
              <w:t>保护第三方合法权益</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42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5.</w:t>
            </w:r>
            <w:r>
              <w:rPr>
                <w:rFonts w:hint="eastAsia" w:ascii="楷体" w:hAnsi="楷体" w:eastAsia="楷体" w:cs="楷体"/>
                <w:color w:val="333333"/>
                <w:kern w:val="0"/>
                <w:sz w:val="20"/>
                <w:szCs w:val="20"/>
                <w:lang w:val="en-US" w:eastAsia="zh-CN" w:bidi="ar"/>
              </w:rPr>
              <w:t>属于三类内部事务信息</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42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6.</w:t>
            </w:r>
            <w:r>
              <w:rPr>
                <w:rFonts w:hint="eastAsia" w:ascii="楷体" w:hAnsi="楷体" w:eastAsia="楷体" w:cs="楷体"/>
                <w:color w:val="333333"/>
                <w:kern w:val="0"/>
                <w:sz w:val="20"/>
                <w:szCs w:val="20"/>
                <w:lang w:val="en-US" w:eastAsia="zh-CN" w:bidi="ar"/>
              </w:rPr>
              <w:t>属于四类过程性信息</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p>
        </w:tc>
      </w:tr>
      <w:tr>
        <w:tblPrEx>
          <w:tblCellMar>
            <w:top w:w="15" w:type="dxa"/>
            <w:left w:w="15" w:type="dxa"/>
            <w:bottom w:w="15" w:type="dxa"/>
            <w:right w:w="15" w:type="dxa"/>
          </w:tblCellMar>
        </w:tblPrEx>
        <w:trPr>
          <w:trHeight w:val="42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7.</w:t>
            </w:r>
            <w:r>
              <w:rPr>
                <w:rFonts w:hint="eastAsia" w:ascii="楷体" w:hAnsi="楷体" w:eastAsia="楷体" w:cs="楷体"/>
                <w:color w:val="333333"/>
                <w:kern w:val="0"/>
                <w:sz w:val="20"/>
                <w:szCs w:val="20"/>
                <w:lang w:val="en-US" w:eastAsia="zh-CN" w:bidi="ar"/>
              </w:rPr>
              <w:t>属于行政执法案卷</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42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8.</w:t>
            </w:r>
            <w:r>
              <w:rPr>
                <w:rFonts w:hint="eastAsia" w:ascii="楷体" w:hAnsi="楷体" w:eastAsia="楷体" w:cs="楷体"/>
                <w:color w:val="333333"/>
                <w:kern w:val="0"/>
                <w:sz w:val="20"/>
                <w:szCs w:val="20"/>
                <w:lang w:val="en-US" w:eastAsia="zh-CN" w:bidi="ar"/>
              </w:rPr>
              <w:t>属于行政查询事项</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42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restart"/>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hint="eastAsia" w:ascii="楷体" w:hAnsi="楷体" w:eastAsia="楷体" w:cs="楷体"/>
                <w:color w:val="333333"/>
                <w:kern w:val="0"/>
                <w:sz w:val="20"/>
                <w:szCs w:val="20"/>
                <w:lang w:val="en-US" w:eastAsia="zh-CN" w:bidi="ar"/>
              </w:rPr>
              <w:t>（四）无法提供</w:t>
            </w: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1.</w:t>
            </w:r>
            <w:r>
              <w:rPr>
                <w:rFonts w:hint="eastAsia" w:ascii="楷体" w:hAnsi="楷体" w:eastAsia="楷体" w:cs="楷体"/>
                <w:color w:val="333333"/>
                <w:kern w:val="0"/>
                <w:sz w:val="20"/>
                <w:szCs w:val="20"/>
                <w:lang w:val="en-US" w:eastAsia="zh-CN" w:bidi="ar"/>
              </w:rPr>
              <w:t>本机关不掌握相关政府信息</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42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2.</w:t>
            </w:r>
            <w:r>
              <w:rPr>
                <w:rFonts w:hint="eastAsia" w:ascii="楷体" w:hAnsi="楷体" w:eastAsia="楷体" w:cs="楷体"/>
                <w:color w:val="333333"/>
                <w:kern w:val="0"/>
                <w:sz w:val="20"/>
                <w:szCs w:val="20"/>
                <w:lang w:val="en-US" w:eastAsia="zh-CN" w:bidi="ar"/>
              </w:rPr>
              <w:t>没有现成信息需要另行制作</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42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3.</w:t>
            </w:r>
            <w:r>
              <w:rPr>
                <w:rFonts w:hint="eastAsia" w:ascii="楷体" w:hAnsi="楷体" w:eastAsia="楷体" w:cs="楷体"/>
                <w:color w:val="333333"/>
                <w:kern w:val="0"/>
                <w:sz w:val="20"/>
                <w:szCs w:val="20"/>
                <w:lang w:val="en-US" w:eastAsia="zh-CN" w:bidi="ar"/>
              </w:rPr>
              <w:t>补正后申请内容仍不明确</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345"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restart"/>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hint="eastAsia" w:ascii="楷体" w:hAnsi="楷体" w:eastAsia="楷体" w:cs="楷体"/>
                <w:color w:val="333333"/>
                <w:kern w:val="0"/>
                <w:sz w:val="20"/>
                <w:szCs w:val="20"/>
                <w:lang w:val="en-US" w:eastAsia="zh-CN" w:bidi="ar"/>
              </w:rPr>
              <w:t>（五）不予处理</w:t>
            </w: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1.</w:t>
            </w:r>
            <w:r>
              <w:rPr>
                <w:rFonts w:hint="eastAsia" w:ascii="楷体" w:hAnsi="楷体" w:eastAsia="楷体" w:cs="楷体"/>
                <w:color w:val="333333"/>
                <w:kern w:val="0"/>
                <w:sz w:val="20"/>
                <w:szCs w:val="20"/>
                <w:lang w:val="en-US" w:eastAsia="zh-CN" w:bidi="ar"/>
              </w:rPr>
              <w:t>信访举报投诉类申请</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345"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2.</w:t>
            </w:r>
            <w:r>
              <w:rPr>
                <w:rFonts w:hint="eastAsia" w:ascii="楷体" w:hAnsi="楷体" w:eastAsia="楷体" w:cs="楷体"/>
                <w:color w:val="333333"/>
                <w:kern w:val="0"/>
                <w:sz w:val="20"/>
                <w:szCs w:val="20"/>
                <w:lang w:val="en-US" w:eastAsia="zh-CN" w:bidi="ar"/>
              </w:rPr>
              <w:t>重复申请</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345"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3.</w:t>
            </w:r>
            <w:r>
              <w:rPr>
                <w:rFonts w:hint="eastAsia" w:ascii="楷体" w:hAnsi="楷体" w:eastAsia="楷体" w:cs="楷体"/>
                <w:color w:val="333333"/>
                <w:kern w:val="0"/>
                <w:sz w:val="20"/>
                <w:szCs w:val="20"/>
                <w:lang w:val="en-US" w:eastAsia="zh-CN" w:bidi="ar"/>
              </w:rPr>
              <w:t>要求提供公开出版物</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42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4.</w:t>
            </w:r>
            <w:r>
              <w:rPr>
                <w:rFonts w:hint="eastAsia" w:ascii="楷体" w:hAnsi="楷体" w:eastAsia="楷体" w:cs="楷体"/>
                <w:color w:val="333333"/>
                <w:kern w:val="0"/>
                <w:sz w:val="20"/>
                <w:szCs w:val="20"/>
                <w:lang w:val="en-US" w:eastAsia="zh-CN" w:bidi="ar"/>
              </w:rPr>
              <w:t>无正当理由大量反复申请</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54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780" w:type="dxa"/>
            <w:vMerge w:val="continue"/>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01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asciiTheme="minorHAnsi" w:hAnsiTheme="minorHAnsi" w:eastAsiaTheme="minorEastAsia" w:cstheme="minorBidi"/>
                <w:color w:val="333333"/>
                <w:kern w:val="0"/>
                <w:sz w:val="24"/>
                <w:szCs w:val="24"/>
                <w:lang w:val="en-US" w:eastAsia="zh-CN" w:bidi="ar"/>
              </w:rPr>
              <w:t>5.</w:t>
            </w:r>
            <w:r>
              <w:rPr>
                <w:rFonts w:hint="eastAsia" w:ascii="楷体" w:hAnsi="楷体" w:eastAsia="楷体" w:cs="楷体"/>
                <w:color w:val="333333"/>
                <w:kern w:val="0"/>
                <w:sz w:val="20"/>
                <w:szCs w:val="20"/>
                <w:lang w:val="en-US" w:eastAsia="zh-CN" w:bidi="ar"/>
              </w:rPr>
              <w:t>要求行政机关确认或重新出具已获取信息</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420"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795" w:type="dxa"/>
            <w:gridSpan w:val="2"/>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hint="eastAsia" w:ascii="楷体" w:hAnsi="楷体" w:eastAsia="楷体" w:cs="楷体"/>
                <w:color w:val="333333"/>
                <w:kern w:val="0"/>
                <w:sz w:val="20"/>
                <w:szCs w:val="20"/>
                <w:lang w:val="en-US" w:eastAsia="zh-CN" w:bidi="ar"/>
              </w:rPr>
              <w:t>（六）其他处理</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r>
        <w:tblPrEx>
          <w:tblCellMar>
            <w:top w:w="15" w:type="dxa"/>
            <w:left w:w="15" w:type="dxa"/>
            <w:bottom w:w="15" w:type="dxa"/>
            <w:right w:w="15" w:type="dxa"/>
          </w:tblCellMar>
        </w:tblPrEx>
        <w:trPr>
          <w:trHeight w:val="345" w:hRule="atLeast"/>
        </w:trPr>
        <w:tc>
          <w:tcPr>
            <w:tcW w:w="480"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color w:val="333333"/>
                <w:sz w:val="22"/>
                <w:szCs w:val="22"/>
              </w:rPr>
            </w:pPr>
          </w:p>
        </w:tc>
        <w:tc>
          <w:tcPr>
            <w:tcW w:w="3795" w:type="dxa"/>
            <w:gridSpan w:val="2"/>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hint="eastAsia" w:ascii="楷体" w:hAnsi="楷体" w:eastAsia="楷体" w:cs="楷体"/>
                <w:color w:val="333333"/>
                <w:kern w:val="0"/>
                <w:sz w:val="20"/>
                <w:szCs w:val="20"/>
                <w:lang w:val="en-US" w:eastAsia="zh-CN" w:bidi="ar"/>
              </w:rPr>
              <w:t>（七）总计</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p>
        </w:tc>
      </w:tr>
      <w:tr>
        <w:tblPrEx>
          <w:tblCellMar>
            <w:top w:w="15" w:type="dxa"/>
            <w:left w:w="15" w:type="dxa"/>
            <w:bottom w:w="15" w:type="dxa"/>
            <w:right w:w="15" w:type="dxa"/>
          </w:tblCellMar>
        </w:tblPrEx>
        <w:trPr>
          <w:trHeight w:val="420" w:hRule="atLeast"/>
        </w:trPr>
        <w:tc>
          <w:tcPr>
            <w:tcW w:w="4275" w:type="dxa"/>
            <w:gridSpan w:val="3"/>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color w:val="333333"/>
              </w:rPr>
            </w:pPr>
            <w:r>
              <w:rPr>
                <w:rFonts w:hint="eastAsia" w:ascii="宋体" w:hAnsi="宋体" w:eastAsia="宋体" w:cs="宋体"/>
                <w:color w:val="333333"/>
                <w:kern w:val="0"/>
                <w:sz w:val="20"/>
                <w:szCs w:val="20"/>
                <w:lang w:val="en-US" w:eastAsia="zh-CN" w:bidi="ar"/>
              </w:rPr>
              <w:t>四、结转下年度继续办理</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hint="eastAsia" w:ascii="宋体" w:hAnsi="宋体" w:eastAsia="宋体" w:cs="宋体"/>
                <w:color w:val="333333"/>
                <w:kern w:val="0"/>
                <w:sz w:val="20"/>
                <w:szCs w:val="20"/>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76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2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c>
          <w:tcPr>
            <w:tcW w:w="630"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rPr>
                <w:color w:val="333333"/>
              </w:rPr>
            </w:pPr>
            <w:r>
              <w:rPr>
                <w:rFonts w:asciiTheme="minorHAnsi" w:hAnsiTheme="minorHAnsi" w:eastAsiaTheme="minorEastAsia" w:cstheme="minorBidi"/>
                <w:color w:val="333333"/>
                <w:kern w:val="0"/>
                <w:sz w:val="24"/>
                <w:szCs w:val="24"/>
                <w:lang w:val="en-US" w:eastAsia="zh-CN" w:bidi="ar"/>
              </w:rPr>
              <w:t> </w:t>
            </w: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rPr>
          <w:rFonts w:hint="eastAsia" w:ascii="黑体" w:hAnsi="宋体" w:eastAsia="黑体" w:cs="黑体"/>
          <w:i w:val="0"/>
          <w:caps w:val="0"/>
          <w:color w:val="333333"/>
          <w:spacing w:val="0"/>
          <w:kern w:val="0"/>
          <w:sz w:val="32"/>
          <w:szCs w:val="32"/>
          <w:lang w:val="en-US" w:eastAsia="zh-CN" w:bidi="ar"/>
        </w:rPr>
      </w:pPr>
      <w:r>
        <w:rPr>
          <w:rFonts w:hint="eastAsia" w:ascii="黑体" w:hAnsi="宋体" w:eastAsia="黑体" w:cs="黑体"/>
          <w:i w:val="0"/>
          <w:caps w:val="0"/>
          <w:color w:val="333333"/>
          <w:spacing w:val="0"/>
          <w:kern w:val="0"/>
          <w:sz w:val="32"/>
          <w:szCs w:val="32"/>
          <w:lang w:val="en-US" w:eastAsia="zh-CN" w:bidi="ar"/>
        </w:rPr>
        <w:t>收到和处理政府信息公开申请情况（2020年度）</w:t>
      </w:r>
    </w:p>
    <w:p>
      <w:pPr>
        <w:rPr>
          <w:rFonts w:hint="eastAsia" w:ascii="黑体" w:hAnsi="宋体" w:eastAsia="黑体" w:cs="黑体"/>
          <w:i w:val="0"/>
          <w:caps w:val="0"/>
          <w:color w:val="333333"/>
          <w:spacing w:val="0"/>
          <w:kern w:val="0"/>
          <w:sz w:val="32"/>
          <w:szCs w:val="32"/>
          <w:lang w:val="en-US" w:eastAsia="zh-CN" w:bidi="ar"/>
        </w:rPr>
      </w:pPr>
      <w:r>
        <w:rPr>
          <w:rFonts w:hint="eastAsia" w:ascii="黑体" w:hAnsi="宋体" w:eastAsia="黑体" w:cs="黑体"/>
          <w:i w:val="0"/>
          <w:caps w:val="0"/>
          <w:color w:val="333333"/>
          <w:spacing w:val="0"/>
          <w:kern w:val="0"/>
          <w:sz w:val="32"/>
          <w:szCs w:val="32"/>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lang w:val="en-US" w:eastAsia="zh-CN" w:bidi="ar"/>
        </w:rPr>
        <w:t>（三）政府信息公开行政复议、行政诉讼情况（2020年度）</w:t>
      </w:r>
    </w:p>
    <w:tbl>
      <w:tblPr>
        <w:tblStyle w:val="8"/>
        <w:tblW w:w="9675" w:type="dxa"/>
        <w:jc w:val="center"/>
        <w:shd w:val="clear" w:color="auto" w:fill="auto"/>
        <w:tblLayout w:type="autofit"/>
        <w:tblCellMar>
          <w:top w:w="15" w:type="dxa"/>
          <w:left w:w="15" w:type="dxa"/>
          <w:bottom w:w="15" w:type="dxa"/>
          <w:right w:w="15" w:type="dxa"/>
        </w:tblCellMar>
      </w:tblPr>
      <w:tblGrid>
        <w:gridCol w:w="645"/>
        <w:gridCol w:w="645"/>
        <w:gridCol w:w="645"/>
        <w:gridCol w:w="645"/>
        <w:gridCol w:w="645"/>
        <w:gridCol w:w="645"/>
        <w:gridCol w:w="645"/>
        <w:gridCol w:w="645"/>
        <w:gridCol w:w="645"/>
        <w:gridCol w:w="645"/>
        <w:gridCol w:w="645"/>
        <w:gridCol w:w="645"/>
        <w:gridCol w:w="645"/>
        <w:gridCol w:w="645"/>
        <w:gridCol w:w="645"/>
      </w:tblGrid>
      <w:tr>
        <w:tblPrEx>
          <w:shd w:val="clear" w:color="auto" w:fill="auto"/>
          <w:tblCellMar>
            <w:top w:w="15" w:type="dxa"/>
            <w:left w:w="15" w:type="dxa"/>
            <w:bottom w:w="15" w:type="dxa"/>
            <w:right w:w="15" w:type="dxa"/>
          </w:tblCellMar>
        </w:tblPrEx>
        <w:trPr>
          <w:trHeight w:val="484" w:hRule="atLeast"/>
          <w:jc w:val="center"/>
        </w:trPr>
        <w:tc>
          <w:tcPr>
            <w:tcW w:w="3225" w:type="dxa"/>
            <w:gridSpan w:val="5"/>
            <w:tcBorders>
              <w:top w:val="single" w:color="000000" w:sz="8" w:space="0"/>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行政复议</w:t>
            </w:r>
          </w:p>
        </w:tc>
        <w:tc>
          <w:tcPr>
            <w:tcW w:w="6450" w:type="dxa"/>
            <w:gridSpan w:val="10"/>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行政诉讼</w:t>
            </w:r>
          </w:p>
        </w:tc>
      </w:tr>
      <w:tr>
        <w:tblPrEx>
          <w:tblCellMar>
            <w:top w:w="15" w:type="dxa"/>
            <w:left w:w="15" w:type="dxa"/>
            <w:bottom w:w="15" w:type="dxa"/>
            <w:right w:w="15" w:type="dxa"/>
          </w:tblCellMar>
        </w:tblPrEx>
        <w:trPr>
          <w:trHeight w:val="579" w:hRule="atLeast"/>
          <w:jc w:val="center"/>
        </w:trPr>
        <w:tc>
          <w:tcPr>
            <w:tcW w:w="645" w:type="dxa"/>
            <w:vMerge w:val="restart"/>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结果维持</w:t>
            </w:r>
          </w:p>
        </w:tc>
        <w:tc>
          <w:tcPr>
            <w:tcW w:w="645" w:type="dxa"/>
            <w:vMerge w:val="restart"/>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结果纠正</w:t>
            </w:r>
          </w:p>
        </w:tc>
        <w:tc>
          <w:tcPr>
            <w:tcW w:w="645" w:type="dxa"/>
            <w:vMerge w:val="restart"/>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其他结果</w:t>
            </w:r>
          </w:p>
        </w:tc>
        <w:tc>
          <w:tcPr>
            <w:tcW w:w="645" w:type="dxa"/>
            <w:vMerge w:val="restart"/>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尚未审结</w:t>
            </w:r>
          </w:p>
        </w:tc>
        <w:tc>
          <w:tcPr>
            <w:tcW w:w="645" w:type="dxa"/>
            <w:vMerge w:val="restart"/>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总计</w:t>
            </w:r>
          </w:p>
        </w:tc>
        <w:tc>
          <w:tcPr>
            <w:tcW w:w="3225" w:type="dxa"/>
            <w:gridSpan w:val="5"/>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未经复议直接起诉</w:t>
            </w:r>
          </w:p>
        </w:tc>
        <w:tc>
          <w:tcPr>
            <w:tcW w:w="3225" w:type="dxa"/>
            <w:gridSpan w:val="5"/>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复议后起诉</w:t>
            </w:r>
          </w:p>
        </w:tc>
      </w:tr>
      <w:tr>
        <w:tblPrEx>
          <w:tblCellMar>
            <w:top w:w="15" w:type="dxa"/>
            <w:left w:w="15" w:type="dxa"/>
            <w:bottom w:w="15" w:type="dxa"/>
            <w:right w:w="15" w:type="dxa"/>
          </w:tblCellMar>
        </w:tblPrEx>
        <w:trPr>
          <w:trHeight w:val="1113" w:hRule="atLeast"/>
          <w:jc w:val="center"/>
        </w:trPr>
        <w:tc>
          <w:tcPr>
            <w:tcW w:w="645" w:type="dxa"/>
            <w:vMerge w:val="continue"/>
            <w:tcBorders>
              <w:top w:val="nil"/>
              <w:left w:val="single" w:color="000000" w:sz="8" w:space="0"/>
              <w:bottom w:val="single" w:color="000000" w:sz="8" w:space="0"/>
              <w:right w:val="single" w:color="000000" w:sz="8" w:space="0"/>
            </w:tcBorders>
            <w:shd w:val="clear" w:color="auto" w:fill="auto"/>
            <w:tcMar>
              <w:bottom w:w="0" w:type="dxa"/>
            </w:tcMar>
            <w:vAlign w:val="center"/>
          </w:tcPr>
          <w:p>
            <w:pPr>
              <w:rPr>
                <w:rFonts w:hint="eastAsia" w:ascii="宋体"/>
                <w:color w:val="333333"/>
                <w:sz w:val="22"/>
                <w:szCs w:val="22"/>
              </w:rPr>
            </w:pPr>
          </w:p>
        </w:tc>
        <w:tc>
          <w:tcPr>
            <w:tcW w:w="645" w:type="dxa"/>
            <w:vMerge w:val="continue"/>
            <w:tcBorders>
              <w:top w:val="nil"/>
              <w:left w:val="nil"/>
              <w:bottom w:val="single" w:color="000000" w:sz="8" w:space="0"/>
              <w:right w:val="single" w:color="000000" w:sz="8" w:space="0"/>
            </w:tcBorders>
            <w:shd w:val="clear" w:color="auto" w:fill="auto"/>
            <w:tcMar>
              <w:bottom w:w="0" w:type="dxa"/>
            </w:tcMar>
            <w:vAlign w:val="center"/>
          </w:tcPr>
          <w:p>
            <w:pPr>
              <w:rPr>
                <w:rFonts w:hint="eastAsia" w:ascii="宋体"/>
                <w:color w:val="333333"/>
                <w:sz w:val="22"/>
                <w:szCs w:val="22"/>
              </w:rPr>
            </w:pPr>
          </w:p>
        </w:tc>
        <w:tc>
          <w:tcPr>
            <w:tcW w:w="645" w:type="dxa"/>
            <w:vMerge w:val="continue"/>
            <w:tcBorders>
              <w:top w:val="single" w:color="000000" w:sz="8" w:space="0"/>
              <w:left w:val="nil"/>
              <w:bottom w:val="single" w:color="000000" w:sz="8" w:space="0"/>
              <w:right w:val="single" w:color="000000" w:sz="8" w:space="0"/>
            </w:tcBorders>
            <w:shd w:val="clear" w:color="auto" w:fill="auto"/>
            <w:tcMar>
              <w:bottom w:w="0" w:type="dxa"/>
            </w:tcMar>
            <w:vAlign w:val="center"/>
          </w:tcPr>
          <w:p>
            <w:pPr>
              <w:rPr>
                <w:rFonts w:hint="eastAsia" w:ascii="宋体"/>
                <w:color w:val="333333"/>
                <w:sz w:val="22"/>
                <w:szCs w:val="22"/>
              </w:rPr>
            </w:pPr>
          </w:p>
        </w:tc>
        <w:tc>
          <w:tcPr>
            <w:tcW w:w="645" w:type="dxa"/>
            <w:vMerge w:val="continue"/>
            <w:tcBorders>
              <w:top w:val="single" w:color="000000" w:sz="8" w:space="0"/>
              <w:left w:val="nil"/>
              <w:bottom w:val="single" w:color="000000" w:sz="8" w:space="0"/>
              <w:right w:val="single" w:color="000000" w:sz="8" w:space="0"/>
            </w:tcBorders>
            <w:shd w:val="clear" w:color="auto" w:fill="auto"/>
            <w:tcMar>
              <w:bottom w:w="0" w:type="dxa"/>
            </w:tcMar>
            <w:vAlign w:val="center"/>
          </w:tcPr>
          <w:p>
            <w:pPr>
              <w:rPr>
                <w:rFonts w:hint="eastAsia" w:ascii="宋体"/>
                <w:color w:val="333333"/>
                <w:sz w:val="22"/>
                <w:szCs w:val="22"/>
              </w:rPr>
            </w:pPr>
          </w:p>
        </w:tc>
        <w:tc>
          <w:tcPr>
            <w:tcW w:w="645" w:type="dxa"/>
            <w:vMerge w:val="continue"/>
            <w:tcBorders>
              <w:top w:val="single" w:color="000000" w:sz="8" w:space="0"/>
              <w:left w:val="nil"/>
              <w:bottom w:val="single" w:color="000000" w:sz="8" w:space="0"/>
              <w:right w:val="single" w:color="000000" w:sz="8" w:space="0"/>
            </w:tcBorders>
            <w:shd w:val="clear" w:color="auto" w:fill="auto"/>
            <w:tcMar>
              <w:bottom w:w="0" w:type="dxa"/>
            </w:tcMar>
            <w:vAlign w:val="center"/>
          </w:tcPr>
          <w:p>
            <w:pPr>
              <w:rPr>
                <w:rFonts w:hint="eastAsia" w:ascii="宋体"/>
                <w:color w:val="333333"/>
                <w:sz w:val="22"/>
                <w:szCs w:val="22"/>
              </w:rPr>
            </w:pP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结果维持</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结果纠正</w:t>
            </w:r>
          </w:p>
        </w:tc>
        <w:tc>
          <w:tcPr>
            <w:tcW w:w="645"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其他结果</w:t>
            </w:r>
          </w:p>
        </w:tc>
        <w:tc>
          <w:tcPr>
            <w:tcW w:w="645"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尚未审结</w:t>
            </w:r>
          </w:p>
        </w:tc>
        <w:tc>
          <w:tcPr>
            <w:tcW w:w="645"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总计</w:t>
            </w:r>
          </w:p>
        </w:tc>
        <w:tc>
          <w:tcPr>
            <w:tcW w:w="645"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结果维持</w:t>
            </w:r>
          </w:p>
        </w:tc>
        <w:tc>
          <w:tcPr>
            <w:tcW w:w="645"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结果纠正</w:t>
            </w:r>
          </w:p>
        </w:tc>
        <w:tc>
          <w:tcPr>
            <w:tcW w:w="645"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其他结果</w:t>
            </w:r>
          </w:p>
        </w:tc>
        <w:tc>
          <w:tcPr>
            <w:tcW w:w="645"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尚未审结</w:t>
            </w:r>
          </w:p>
        </w:tc>
        <w:tc>
          <w:tcPr>
            <w:tcW w:w="645"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color w:val="333333"/>
              </w:rPr>
            </w:pPr>
            <w:r>
              <w:rPr>
                <w:rFonts w:hint="eastAsia" w:ascii="仿宋_GB2312" w:eastAsia="仿宋_GB2312" w:cs="仿宋_GB2312" w:hAnsiTheme="minorHAnsi"/>
                <w:color w:val="333333"/>
                <w:kern w:val="0"/>
                <w:sz w:val="28"/>
                <w:szCs w:val="28"/>
                <w:lang w:val="en-US" w:eastAsia="zh-CN" w:bidi="ar"/>
              </w:rPr>
              <w:t>总计</w:t>
            </w:r>
          </w:p>
        </w:tc>
      </w:tr>
      <w:tr>
        <w:tblPrEx>
          <w:tblCellMar>
            <w:top w:w="15" w:type="dxa"/>
            <w:left w:w="15" w:type="dxa"/>
            <w:bottom w:w="15" w:type="dxa"/>
            <w:right w:w="15" w:type="dxa"/>
          </w:tblCellMar>
        </w:tblPrEx>
        <w:trPr>
          <w:trHeight w:val="400" w:hRule="atLeast"/>
          <w:jc w:val="center"/>
        </w:trPr>
        <w:tc>
          <w:tcPr>
            <w:tcW w:w="645" w:type="dxa"/>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cstheme="minorBidi"/>
                <w:color w:val="333333"/>
                <w:kern w:val="0"/>
                <w:sz w:val="24"/>
                <w:szCs w:val="24"/>
                <w:lang w:val="en-US" w:eastAsia="zh-CN" w:bidi="ar"/>
              </w:rPr>
              <w:t>0</w:t>
            </w:r>
            <w:r>
              <w:rPr>
                <w:rFonts w:asciiTheme="minorHAnsi" w:hAnsiTheme="minorHAnsi" w:eastAsiaTheme="minorEastAsia" w:cstheme="minorBidi"/>
                <w:color w:val="333333"/>
                <w:kern w:val="0"/>
                <w:sz w:val="24"/>
                <w:szCs w:val="24"/>
                <w:lang w:val="en-US" w:eastAsia="zh-CN" w:bidi="ar"/>
              </w:rPr>
              <w:t> </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333333"/>
                <w:lang w:val="en-US"/>
              </w:rPr>
            </w:pPr>
            <w:r>
              <w:rPr>
                <w:rFonts w:asciiTheme="minorHAnsi" w:hAnsiTheme="minorHAnsi" w:eastAsiaTheme="minorEastAsia" w:cstheme="minorBidi"/>
                <w:color w:val="333333"/>
                <w:kern w:val="0"/>
                <w:sz w:val="24"/>
                <w:szCs w:val="24"/>
                <w:lang w:val="en-US" w:eastAsia="zh-CN" w:bidi="ar"/>
              </w:rPr>
              <w:t> </w:t>
            </w:r>
            <w:r>
              <w:rPr>
                <w:rFonts w:hint="eastAsia" w:cstheme="minorBidi"/>
                <w:color w:val="333333"/>
                <w:kern w:val="0"/>
                <w:sz w:val="24"/>
                <w:szCs w:val="24"/>
                <w:lang w:val="en-US" w:eastAsia="zh-CN" w:bidi="ar"/>
              </w:rPr>
              <w:t>0</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333333"/>
                <w:lang w:val="en-US"/>
              </w:rPr>
            </w:pPr>
            <w:r>
              <w:rPr>
                <w:rFonts w:asciiTheme="minorHAnsi" w:hAnsiTheme="minorHAnsi" w:eastAsiaTheme="minorEastAsia" w:cstheme="minorBidi"/>
                <w:color w:val="333333"/>
                <w:kern w:val="0"/>
                <w:sz w:val="24"/>
                <w:szCs w:val="24"/>
                <w:lang w:val="en-US" w:eastAsia="zh-CN" w:bidi="ar"/>
              </w:rPr>
              <w:t> </w:t>
            </w:r>
            <w:r>
              <w:rPr>
                <w:rFonts w:hint="eastAsia" w:cstheme="minorBidi"/>
                <w:color w:val="333333"/>
                <w:kern w:val="0"/>
                <w:sz w:val="24"/>
                <w:szCs w:val="24"/>
                <w:lang w:val="en-US" w:eastAsia="zh-CN" w:bidi="ar"/>
              </w:rPr>
              <w:t>0</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cstheme="minorBidi"/>
                <w:color w:val="333333"/>
                <w:kern w:val="0"/>
                <w:sz w:val="24"/>
                <w:szCs w:val="24"/>
                <w:lang w:val="en-US" w:eastAsia="zh-CN" w:bidi="ar"/>
              </w:rPr>
              <w:t>0</w:t>
            </w:r>
            <w:r>
              <w:rPr>
                <w:rFonts w:asciiTheme="minorHAnsi" w:hAnsiTheme="minorHAnsi" w:eastAsiaTheme="minorEastAsia" w:cstheme="minorBidi"/>
                <w:color w:val="333333"/>
                <w:kern w:val="0"/>
                <w:sz w:val="24"/>
                <w:szCs w:val="24"/>
                <w:lang w:val="en-US" w:eastAsia="zh-CN" w:bidi="ar"/>
              </w:rPr>
              <w:t> </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333333"/>
                <w:lang w:val="en-US"/>
              </w:rPr>
            </w:pPr>
            <w:r>
              <w:rPr>
                <w:rFonts w:asciiTheme="minorHAnsi" w:hAnsiTheme="minorHAnsi" w:eastAsiaTheme="minorEastAsia" w:cstheme="minorBidi"/>
                <w:color w:val="333333"/>
                <w:kern w:val="0"/>
                <w:sz w:val="24"/>
                <w:szCs w:val="24"/>
                <w:lang w:val="en-US" w:eastAsia="zh-CN" w:bidi="ar"/>
              </w:rPr>
              <w:t> </w:t>
            </w:r>
            <w:r>
              <w:rPr>
                <w:rFonts w:hint="eastAsia" w:cstheme="minorBidi"/>
                <w:color w:val="333333"/>
                <w:kern w:val="0"/>
                <w:sz w:val="24"/>
                <w:szCs w:val="24"/>
                <w:lang w:val="en-US" w:eastAsia="zh-CN" w:bidi="ar"/>
              </w:rPr>
              <w:t>0</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333333"/>
                <w:lang w:val="en-US" w:eastAsia="zh-CN"/>
              </w:rPr>
            </w:pPr>
            <w:r>
              <w:rPr>
                <w:rFonts w:hint="eastAsia"/>
                <w:color w:val="333333"/>
                <w:lang w:val="en-US" w:eastAsia="zh-CN"/>
              </w:rPr>
              <w:t>0</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cstheme="minorBidi"/>
                <w:color w:val="333333"/>
                <w:kern w:val="0"/>
                <w:sz w:val="24"/>
                <w:szCs w:val="24"/>
                <w:lang w:val="en-US" w:eastAsia="zh-CN" w:bidi="ar"/>
              </w:rPr>
              <w:t>0</w:t>
            </w:r>
            <w:r>
              <w:rPr>
                <w:rFonts w:asciiTheme="minorHAnsi" w:hAnsiTheme="minorHAnsi" w:eastAsiaTheme="minorEastAsia" w:cstheme="minorBidi"/>
                <w:color w:val="333333"/>
                <w:kern w:val="0"/>
                <w:sz w:val="24"/>
                <w:szCs w:val="24"/>
                <w:lang w:val="en-US" w:eastAsia="zh-CN" w:bidi="ar"/>
              </w:rPr>
              <w:t> </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cstheme="minorBidi"/>
                <w:color w:val="333333"/>
                <w:kern w:val="0"/>
                <w:sz w:val="24"/>
                <w:szCs w:val="24"/>
                <w:lang w:val="en-US" w:eastAsia="zh-CN" w:bidi="ar"/>
              </w:rPr>
              <w:t>0</w:t>
            </w:r>
            <w:r>
              <w:rPr>
                <w:rFonts w:asciiTheme="minorHAnsi" w:hAnsiTheme="minorHAnsi" w:eastAsiaTheme="minorEastAsia" w:cstheme="minorBidi"/>
                <w:color w:val="333333"/>
                <w:kern w:val="0"/>
                <w:sz w:val="24"/>
                <w:szCs w:val="24"/>
                <w:lang w:val="en-US" w:eastAsia="zh-CN" w:bidi="ar"/>
              </w:rPr>
              <w:t> </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333333"/>
                <w:lang w:val="en-US"/>
              </w:rPr>
            </w:pPr>
            <w:r>
              <w:rPr>
                <w:rFonts w:asciiTheme="minorHAnsi" w:hAnsiTheme="minorHAnsi" w:eastAsiaTheme="minorEastAsia" w:cstheme="minorBidi"/>
                <w:color w:val="333333"/>
                <w:kern w:val="0"/>
                <w:sz w:val="24"/>
                <w:szCs w:val="24"/>
                <w:lang w:val="en-US" w:eastAsia="zh-CN" w:bidi="ar"/>
              </w:rPr>
              <w:t> </w:t>
            </w:r>
            <w:r>
              <w:rPr>
                <w:rFonts w:hint="eastAsia" w:cstheme="minorBidi"/>
                <w:color w:val="333333"/>
                <w:kern w:val="0"/>
                <w:sz w:val="24"/>
                <w:szCs w:val="24"/>
                <w:lang w:val="en-US" w:eastAsia="zh-CN" w:bidi="ar"/>
              </w:rPr>
              <w:t>0</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333333"/>
                <w:lang w:val="en-US" w:eastAsia="zh-CN"/>
              </w:rPr>
            </w:pPr>
            <w:r>
              <w:rPr>
                <w:rFonts w:hint="eastAsia"/>
                <w:color w:val="333333"/>
                <w:lang w:val="en-US" w:eastAsia="zh-CN"/>
              </w:rPr>
              <w:t>0</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cstheme="minorBidi"/>
                <w:color w:val="333333"/>
                <w:kern w:val="0"/>
                <w:sz w:val="24"/>
                <w:szCs w:val="24"/>
                <w:lang w:val="en-US" w:eastAsia="zh-CN" w:bidi="ar"/>
              </w:rPr>
              <w:t>0</w:t>
            </w:r>
            <w:r>
              <w:rPr>
                <w:rFonts w:asciiTheme="minorHAnsi" w:hAnsiTheme="minorHAnsi" w:eastAsiaTheme="minorEastAsia" w:cstheme="minorBidi"/>
                <w:color w:val="333333"/>
                <w:kern w:val="0"/>
                <w:sz w:val="24"/>
                <w:szCs w:val="24"/>
                <w:lang w:val="en-US" w:eastAsia="zh-CN" w:bidi="ar"/>
              </w:rPr>
              <w:t> </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333333"/>
                <w:lang w:val="en-US"/>
              </w:rPr>
            </w:pPr>
            <w:r>
              <w:rPr>
                <w:rFonts w:asciiTheme="minorHAnsi" w:hAnsiTheme="minorHAnsi" w:eastAsiaTheme="minorEastAsia" w:cstheme="minorBidi"/>
                <w:color w:val="333333"/>
                <w:kern w:val="0"/>
                <w:sz w:val="24"/>
                <w:szCs w:val="24"/>
                <w:lang w:val="en-US" w:eastAsia="zh-CN" w:bidi="ar"/>
              </w:rPr>
              <w:t> </w:t>
            </w:r>
            <w:r>
              <w:rPr>
                <w:rFonts w:hint="eastAsia" w:cstheme="minorBidi"/>
                <w:color w:val="333333"/>
                <w:kern w:val="0"/>
                <w:sz w:val="24"/>
                <w:szCs w:val="24"/>
                <w:lang w:val="en-US" w:eastAsia="zh-CN" w:bidi="ar"/>
              </w:rPr>
              <w:t>0</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333333"/>
                <w:lang w:val="en-US"/>
              </w:rPr>
            </w:pPr>
            <w:r>
              <w:rPr>
                <w:rFonts w:asciiTheme="minorHAnsi" w:hAnsiTheme="minorHAnsi" w:eastAsiaTheme="minorEastAsia" w:cstheme="minorBidi"/>
                <w:color w:val="333333"/>
                <w:kern w:val="0"/>
                <w:sz w:val="24"/>
                <w:szCs w:val="24"/>
                <w:lang w:val="en-US" w:eastAsia="zh-CN" w:bidi="ar"/>
              </w:rPr>
              <w:t> </w:t>
            </w:r>
            <w:r>
              <w:rPr>
                <w:rFonts w:hint="eastAsia" w:cstheme="minorBidi"/>
                <w:color w:val="333333"/>
                <w:kern w:val="0"/>
                <w:sz w:val="24"/>
                <w:szCs w:val="24"/>
                <w:lang w:val="en-US" w:eastAsia="zh-CN" w:bidi="ar"/>
              </w:rPr>
              <w:t>0</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cstheme="minorBidi"/>
                <w:color w:val="333333"/>
                <w:kern w:val="0"/>
                <w:sz w:val="24"/>
                <w:szCs w:val="24"/>
                <w:lang w:val="en-US" w:eastAsia="zh-CN" w:bidi="ar"/>
              </w:rPr>
              <w:t>0</w:t>
            </w:r>
            <w:r>
              <w:rPr>
                <w:rFonts w:asciiTheme="minorHAnsi" w:hAnsiTheme="minorHAnsi" w:eastAsiaTheme="minorEastAsia" w:cstheme="minorBidi"/>
                <w:color w:val="333333"/>
                <w:kern w:val="0"/>
                <w:sz w:val="24"/>
                <w:szCs w:val="24"/>
                <w:lang w:val="en-US" w:eastAsia="zh-CN" w:bidi="ar"/>
              </w:rPr>
              <w:t> </w:t>
            </w:r>
          </w:p>
        </w:tc>
        <w:tc>
          <w:tcPr>
            <w:tcW w:w="645"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cstheme="minorBidi"/>
                <w:color w:val="333333"/>
                <w:kern w:val="0"/>
                <w:sz w:val="24"/>
                <w:szCs w:val="24"/>
                <w:lang w:val="en-US" w:eastAsia="zh-CN" w:bidi="ar"/>
              </w:rPr>
              <w:t>0</w:t>
            </w:r>
            <w:r>
              <w:rPr>
                <w:rFonts w:asciiTheme="minorHAnsi" w:hAnsiTheme="minorHAnsi" w:eastAsiaTheme="minorEastAsia" w:cstheme="minorBidi"/>
                <w:color w:val="333333"/>
                <w:kern w:val="0"/>
                <w:sz w:val="24"/>
                <w:szCs w:val="24"/>
                <w:lang w:val="en-US" w:eastAsia="zh-CN" w:bidi="ar"/>
              </w:rPr>
              <w:t>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i w:val="0"/>
          <w:caps w:val="0"/>
          <w:color w:val="000000"/>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黑体" w:hAnsi="黑体" w:eastAsia="黑体" w:cs="黑体"/>
          <w:i w:val="0"/>
          <w:caps w:val="0"/>
          <w:color w:val="000000"/>
          <w:spacing w:val="0"/>
          <w:sz w:val="32"/>
          <w:szCs w:val="32"/>
          <w:shd w:val="clear" w:fill="FFFFFF"/>
          <w:lang w:val="en-US" w:eastAsia="zh-CN"/>
        </w:rPr>
      </w:pPr>
      <w:bookmarkStart w:id="1" w:name="_GoBack"/>
      <w:bookmarkEnd w:id="1"/>
      <w:r>
        <w:rPr>
          <w:rFonts w:hint="eastAsia" w:ascii="黑体" w:hAnsi="黑体" w:eastAsia="黑体" w:cs="黑体"/>
          <w:i w:val="0"/>
          <w:caps w:val="0"/>
          <w:color w:val="000000"/>
          <w:spacing w:val="0"/>
          <w:sz w:val="32"/>
          <w:szCs w:val="32"/>
          <w:shd w:val="clear" w:fill="FFFFFF"/>
          <w:lang w:val="en-US" w:eastAsia="zh-CN"/>
        </w:rPr>
        <w:t>五、健全监督保障机制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lang w:val="en-US" w:eastAsia="zh-CN"/>
        </w:rPr>
        <w:t>我局建立健全政务公开各项制度，建立信息发布审查制度，所有公开的信息必须进行内容和保密方面的审查，在市政府OA上建立网上审批流程，由分管局领导批准后，才能对外发布，对不能确定是否可以公开的信息，依照法律、法规和国家有关规定报有关主管部门或者同级保密部门确定。健全监督机制，完善内部监督和社会监督体系，接受群众监督，局党组对各科室实行政务公开及信息公开情况进行监督，发现问题及时纠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val="en-US" w:eastAsia="zh-CN"/>
        </w:rPr>
        <w:t>六、存在问题及改进情况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lang w:val="en-US" w:eastAsia="zh-CN"/>
        </w:rPr>
        <w:t>2020年，我局政务公开工作取得了新的进展，分发挥了政务公开在知民情、汇民智、解民忧方面的重要作用，但是我局也存在政府信息公开主动性需要加强，部分科室对信息公开工作重视不够，信息公开队伍建设需要加强等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i w:val="0"/>
          <w:caps w:val="0"/>
          <w:color w:val="191F25"/>
          <w:spacing w:val="0"/>
          <w:sz w:val="32"/>
          <w:szCs w:val="32"/>
          <w:shd w:val="clear" w:fill="FFFFFF"/>
          <w:lang w:val="zh-CN" w:eastAsia="zh-CN"/>
        </w:rPr>
      </w:pPr>
      <w:r>
        <w:rPr>
          <w:rFonts w:hint="eastAsia" w:ascii="仿宋_GB2312" w:hAnsi="宋体" w:eastAsia="仿宋_GB2312" w:cs="仿宋_GB2312"/>
          <w:i w:val="0"/>
          <w:caps w:val="0"/>
          <w:color w:val="000000"/>
          <w:spacing w:val="0"/>
          <w:sz w:val="32"/>
          <w:szCs w:val="32"/>
          <w:shd w:val="clear" w:fill="FFFFFF"/>
          <w:lang w:val="en-US" w:eastAsia="zh-CN"/>
        </w:rPr>
        <w:t>今后，我局通过培训、专家授课的方式，提高信息工作人员的业务水平和加深干部职工对信息公开工作的认识和信息公开的能力，提高单位信息公开水平。通过组织专题调度会等方式，分解工作任务，提高各科室信息发布的主动性，确保政务信息公开工作的及时性和准确性。</w:t>
      </w:r>
      <w:bookmarkEnd w:id="0"/>
    </w:p>
    <w:sectPr>
      <w:footerReference r:id="rId3" w:type="default"/>
      <w:footerReference r:id="rId4" w:type="even"/>
      <w:pgSz w:w="11906" w:h="16838"/>
      <w:pgMar w:top="2098" w:right="1474" w:bottom="1985" w:left="158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Theme="minorEastAsia" w:hAnsiTheme="minorEastAsia"/>
        <w:sz w:val="28"/>
        <w:szCs w:val="28"/>
      </w:rPr>
    </w:pPr>
    <w:r>
      <w:rPr>
        <w:rFonts w:hint="eastAsia" w:asciiTheme="minorEastAsia" w:hAnsiTheme="minorEastAsia"/>
        <w:sz w:val="28"/>
        <w:szCs w:val="28"/>
      </w:rPr>
      <w:t>—</w:t>
    </w:r>
    <w:sdt>
      <w:sdtPr>
        <w:rPr>
          <w:rFonts w:asciiTheme="minorEastAsia" w:hAnsiTheme="minorEastAsia"/>
          <w:sz w:val="28"/>
          <w:szCs w:val="28"/>
        </w:rPr>
        <w:id w:val="1246693010"/>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sz w:val="28"/>
            <w:szCs w:val="28"/>
          </w:rPr>
          <w:t xml:space="preserve"> </w:t>
        </w:r>
        <w:r>
          <w:rPr>
            <w:rFonts w:hint="eastAsia" w:asciiTheme="minorEastAsia" w:hAnsiTheme="minor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Theme="minorEastAsia" w:hAnsiTheme="minorEastAsia"/>
        <w:sz w:val="28"/>
        <w:szCs w:val="28"/>
      </w:rPr>
    </w:pPr>
    <w:r>
      <w:rPr>
        <w:rFonts w:hint="eastAsia" w:asciiTheme="minorEastAsia" w:hAnsiTheme="minorEastAsia"/>
        <w:sz w:val="28"/>
        <w:szCs w:val="28"/>
      </w:rPr>
      <w:t>—</w:t>
    </w:r>
    <w:sdt>
      <w:sdtPr>
        <w:rPr>
          <w:rFonts w:asciiTheme="minorEastAsia" w:hAnsiTheme="minorEastAsia"/>
          <w:sz w:val="28"/>
          <w:szCs w:val="28"/>
        </w:rPr>
        <w:id w:val="106082527"/>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asciiTheme="minorEastAsia" w:hAnsiTheme="minorEastAsia"/>
            <w:sz w:val="28"/>
            <w:szCs w:val="28"/>
          </w:rPr>
          <w:t xml:space="preserve"> </w:t>
        </w:r>
        <w:r>
          <w:rPr>
            <w:rFonts w:hint="eastAsia" w:asciiTheme="minorEastAsia" w:hAnsiTheme="minorEastAsia"/>
            <w:sz w:val="28"/>
            <w:szCs w:val="28"/>
          </w:rPr>
          <w:t>—</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D6B0F5"/>
    <w:multiLevelType w:val="singleLevel"/>
    <w:tmpl w:val="DAD6B0F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dit="trackedChanges"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D06BE"/>
    <w:rsid w:val="00034F04"/>
    <w:rsid w:val="000565F6"/>
    <w:rsid w:val="0010077C"/>
    <w:rsid w:val="002938E8"/>
    <w:rsid w:val="002A53EC"/>
    <w:rsid w:val="003F32F1"/>
    <w:rsid w:val="00403380"/>
    <w:rsid w:val="00426581"/>
    <w:rsid w:val="0051052E"/>
    <w:rsid w:val="00543505"/>
    <w:rsid w:val="005C73E7"/>
    <w:rsid w:val="00685E7D"/>
    <w:rsid w:val="006A6005"/>
    <w:rsid w:val="006D7B57"/>
    <w:rsid w:val="006F13ED"/>
    <w:rsid w:val="00764D6F"/>
    <w:rsid w:val="00784622"/>
    <w:rsid w:val="00791D3A"/>
    <w:rsid w:val="008931C9"/>
    <w:rsid w:val="008A6C79"/>
    <w:rsid w:val="00A43FED"/>
    <w:rsid w:val="00AC48B9"/>
    <w:rsid w:val="00BA5970"/>
    <w:rsid w:val="00C34C7B"/>
    <w:rsid w:val="00CA57C1"/>
    <w:rsid w:val="00D01C35"/>
    <w:rsid w:val="00D30541"/>
    <w:rsid w:val="00D5200F"/>
    <w:rsid w:val="00E42918"/>
    <w:rsid w:val="00F4202A"/>
    <w:rsid w:val="00FA65A1"/>
    <w:rsid w:val="07D019B0"/>
    <w:rsid w:val="117270E7"/>
    <w:rsid w:val="163C31A7"/>
    <w:rsid w:val="24E11F77"/>
    <w:rsid w:val="2A95164D"/>
    <w:rsid w:val="30C80162"/>
    <w:rsid w:val="41547970"/>
    <w:rsid w:val="4479725B"/>
    <w:rsid w:val="463442F3"/>
    <w:rsid w:val="501B6F8F"/>
    <w:rsid w:val="53062726"/>
    <w:rsid w:val="577C271B"/>
    <w:rsid w:val="5A961962"/>
    <w:rsid w:val="5B172CB9"/>
    <w:rsid w:val="5BA33C10"/>
    <w:rsid w:val="5BB148DD"/>
    <w:rsid w:val="5CA533ED"/>
    <w:rsid w:val="5F560555"/>
    <w:rsid w:val="620E477F"/>
    <w:rsid w:val="63073834"/>
    <w:rsid w:val="6D535020"/>
    <w:rsid w:val="6EC6253E"/>
    <w:rsid w:val="72AD06BE"/>
    <w:rsid w:val="7F0D6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spacing w:line="240" w:lineRule="auto"/>
      <w:ind w:firstLine="200" w:firstLineChars="200"/>
      <w:textAlignment w:val="auto"/>
    </w:pPr>
    <w:rPr>
      <w:rFonts w:ascii="Times New Roman" w:hAnsi="Times New Roman" w:eastAsia="宋体"/>
      <w:kern w:val="2"/>
      <w:sz w:val="21"/>
      <w:u w:val="none"/>
    </w:rPr>
  </w:style>
  <w:style w:type="paragraph" w:styleId="3">
    <w:name w:val="Block Text"/>
    <w:basedOn w:val="1"/>
    <w:qFormat/>
    <w:uiPriority w:val="0"/>
    <w:pPr>
      <w:spacing w:line="500" w:lineRule="exact"/>
      <w:ind w:left="1159" w:leftChars="152" w:right="-334" w:rightChars="-159" w:hanging="840" w:hangingChars="300"/>
    </w:pPr>
    <w:rPr>
      <w:rFonts w:eastAsia="仿宋_GB2312"/>
      <w:spacing w:val="-20"/>
      <w:sz w:val="32"/>
    </w:rPr>
  </w:style>
  <w:style w:type="paragraph" w:styleId="4">
    <w:name w:val="Balloon Text"/>
    <w:basedOn w:val="1"/>
    <w:link w:val="12"/>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2">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99"/>
    <w:rPr>
      <w:rFonts w:asciiTheme="minorHAnsi" w:hAnsiTheme="minorHAnsi" w:eastAsiaTheme="minorEastAsia" w:cstheme="minorBidi"/>
      <w:kern w:val="2"/>
      <w:sz w:val="18"/>
      <w:szCs w:val="24"/>
    </w:rPr>
  </w:style>
  <w:style w:type="character" w:customStyle="1" w:styleId="15">
    <w:name w:val="font11"/>
    <w:basedOn w:val="10"/>
    <w:qFormat/>
    <w:uiPriority w:val="0"/>
    <w:rPr>
      <w:rFonts w:hint="eastAsia" w:ascii="宋体" w:hAnsi="宋体" w:eastAsia="宋体" w:cs="宋体"/>
      <w:color w:val="000000"/>
      <w:sz w:val="28"/>
      <w:szCs w:val="28"/>
      <w:u w:val="none"/>
    </w:rPr>
  </w:style>
  <w:style w:type="paragraph" w:customStyle="1" w:styleId="16">
    <w:name w:val="Heading #2|1"/>
    <w:basedOn w:val="1"/>
    <w:qFormat/>
    <w:uiPriority w:val="0"/>
    <w:pPr>
      <w:widowControl w:val="0"/>
      <w:shd w:val="clear" w:color="auto" w:fill="auto"/>
      <w:spacing w:after="500" w:line="677" w:lineRule="exact"/>
      <w:jc w:val="center"/>
      <w:outlineLvl w:val="1"/>
    </w:pPr>
    <w:rPr>
      <w:rFonts w:ascii="宋体" w:hAnsi="宋体" w:eastAsia="宋体" w:cs="宋体"/>
      <w:sz w:val="40"/>
      <w:szCs w:val="40"/>
      <w:u w:val="none"/>
      <w:shd w:val="clear" w:color="auto" w:fill="auto"/>
      <w:lang w:val="zh-TW" w:eastAsia="zh-TW" w:bidi="zh-TW"/>
    </w:rPr>
  </w:style>
  <w:style w:type="paragraph" w:customStyle="1" w:styleId="17">
    <w:name w:val="Body text|1"/>
    <w:basedOn w:val="1"/>
    <w:qFormat/>
    <w:uiPriority w:val="0"/>
    <w:pPr>
      <w:widowControl w:val="0"/>
      <w:shd w:val="clear" w:color="auto" w:fill="auto"/>
      <w:spacing w:line="427"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8</Pages>
  <Words>672</Words>
  <Characters>3833</Characters>
  <Lines>31</Lines>
  <Paragraphs>8</Paragraphs>
  <TotalTime>2</TotalTime>
  <ScaleCrop>false</ScaleCrop>
  <LinksUpToDate>false</LinksUpToDate>
  <CharactersWithSpaces>4497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2018-06-13T06:12:00Z</dcterms:created>
  <dc:creator>伊诺荼蘼</dc:creator>
  <cp:lastModifiedBy>碧池銀魚mg</cp:lastModifiedBy>
  <cp:lastPrinted>2020-10-10T06:58:00Z</cp:lastPrinted>
  <dcterms:modified xsi:type="dcterms:W3CDTF">2021-01-15T08:12:23Z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