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推进永康市</w:t>
      </w: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内外贸一体化高质量发展的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若干意见（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政策汇编及公开宣传版</w:t>
      </w:r>
      <w:bookmarkStart w:id="0" w:name="_GoBack"/>
      <w:bookmarkEnd w:id="0"/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"/>
        </w:rPr>
        <w:t>）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88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为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进一步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培育永康特色产业参与国际国内市场竞争新优势，高质量融入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双循环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新发展格局，推动内外贸一体化深度融合发展，助力打造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世界五金之都 品质活力永康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，现提出以下意见。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一、优化商贸流通体系</w:t>
      </w:r>
      <w:r>
        <w:rPr>
          <w:rFonts w:hint="eastAsia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畅通</w:t>
      </w:r>
      <w:r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>内循环</w:t>
      </w:r>
      <w:r>
        <w:rPr>
          <w:rFonts w:hint="default" w:ascii="Times New Roman" w:hAnsi="Times New Roman" w:eastAsia="黑体" w:cs="Times New Roman"/>
          <w:b w:val="0"/>
          <w:caps w:val="0"/>
          <w:color w:val="000000"/>
          <w:kern w:val="2"/>
          <w:sz w:val="32"/>
          <w:szCs w:val="32"/>
          <w:lang w:val="en-US" w:eastAsia="zh-CN" w:bidi="ar"/>
        </w:rPr>
        <w:t xml:space="preserve">”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（一）规范商贸企业发展。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对月度新增、年度新增纳入限额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批零统计库（以下简称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入统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）的商贸主体，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并在库两年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的，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万元。批发企业首次入统且当年销售额增量达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，零售企业首次入统且当年零售额增量达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的，再分别一次性奖励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60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万元。鼓励工业企业分离设立贸易企业，对首次纳统且年销售额达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60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（二）培育重点企业发展。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对纳统年销售额达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的批发企业，达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的零售企业，且当年销售额同比增速达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的（或高于同行业平均增幅，关联企业增速按总量核算），按年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应税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销售额的万分之六予以奖励。对在库两年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，当年销售额增幅达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的限下样本单位（含个体）给予每家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每年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补助。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（三）支持抱团升限纳统。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对专业市场、大型商业综合体的所有在库商贸单位，每年体现在统计库上的零售额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合计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达到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，或批发额合计达到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的，分别一次性奖励管理方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（四）打造多元化消费场景。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大力发展首店经济、夜间经济。允许已纳入批零统计库的或组织抱团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纳统总销售额达1亿元及以上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专业市场、大型商业综合体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运营企业外摆经营，适当延长夜间营业时间，该类运营企业引进国际、国内、区域特色连锁品牌或高成长性新锐品牌来永设立首店的，每引进一个品牌，分别给予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万元的奖励，单个企业每年累计奖励不超过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（五）深化再生资源回收体系建设。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支持建设标准化再生资源分拣中心，建成后对再生资源回收企业（工业固废回收及报废机动车回收拆解企业除外）购置加工整理机械、运输车辆、软硬件等投资额达到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的，按投资额的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给予一次性奖励，单个企业最高奖励不超过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万元。鼓励企业、个人增加对再生资源回收网点、分拣中心等回收设施的建设投入。再生资源回收企业购置加工整理机械、运输车辆、租赁场地等实际投资100万元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的，按实际投资额20%给予奖励，单个企业年度奖励不超过100万元。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（六）积极招引大型商贸企业。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对招引后新入统且年销售额达1亿元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的批发企业或5000万元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的零售企业，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按其增值额地方贡献部分的80%予以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奖励；入统后第二年、第三年年增速达10%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的，分别按其增值额地方贡献部分的60%、50%予以奖励。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二、推进高水平对外开放</w:t>
      </w: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融入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外循环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0000FF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（七）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鼓励进出口贸易稳增提质。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鼓励企业创建自主品牌；支持参加境内外展会，包括代参展；推动开展国际标准认定；支持做大进口规模。引导企业防范风险，支持投保出口信用保险，支持利用出口信用保险及跨境电商贸易融资。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加大拓展外贸增量力度，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招引外贸企业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落户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永康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三、深化国际经贸合作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促进外商投资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</w:rPr>
      </w:pP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（八）加大招引外资力度</w:t>
      </w: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推动对外投资合作高质量发展</w:t>
      </w: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外资项目招引，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鼓励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创建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国际产业合作园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，引导资源集聚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。引导企业有序“走出去”，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鼓励通过新设或并购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高质量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开展境外投资。引导企业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海外投资保险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eastAsia="zh-CN" w:bidi="ar"/>
        </w:rPr>
        <w:t>规避境外投资风险。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总投资3000万美元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的外资项目视同为永康市重大招商引资项目，优先供地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eastAsia="zh-CN" w:bidi="ar"/>
        </w:rPr>
        <w:t>可视情</w:t>
      </w:r>
      <w:r>
        <w:rPr>
          <w:rFonts w:hint="default" w:ascii="Times New Roman" w:hAnsi="Times New Roman" w:eastAsia="仿宋" w:cs="仿宋"/>
          <w:kern w:val="2"/>
          <w:sz w:val="32"/>
          <w:szCs w:val="32"/>
          <w:highlight w:val="none"/>
          <w:lang w:val="en-US" w:eastAsia="zh-CN" w:bidi="ar"/>
        </w:rPr>
        <w:t>享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受相应招商引资政策，同时享受实到外资奖励。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960" w:firstLineChars="3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四、树立电商发展标杆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 w:bidi="ar"/>
        </w:rPr>
        <w:t>扶持新业态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九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）规范电商企业发展。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境内电商入统企业年销售额首次达到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，且同比增长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的；跨境电商入统企业年销售额首次达到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1500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，且同比增长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40%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的；分别予以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万元的一次性奖励。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（十）着力引培电商平台。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企业自建国内线上交易平台，线上交易额首次达到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万元且定期报送数据的，给予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万元奖励，每提高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万元再追加一次性奖励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万元，单个平台累计奖励不超过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支持</w:t>
      </w:r>
      <w:r>
        <w:rPr>
          <w:rFonts w:hint="default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跨境电商平台以注册独立法人形式落户永康。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）推动园区集聚发展。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对经市政府认定，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2021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年后新打造的电商园区或物流仓储集聚区（以下简称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园区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），面积达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㎡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，入驻电商主体（含服务机构）达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家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的，按实际投资额（不含土建）的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5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予以一次性补助，单个企业补助不超过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万元。鼓励引导企业纳入限额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统计库，每培育一家首次入统的企业，一次性奖励园区（基地）运营主体3万元。 对已纳统的电商企业或服务企业，在经认定的园区内租用办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公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、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仓储用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地的，按实际租金的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7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0%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eastAsia="zh-CN" w:bidi="ar"/>
        </w:rPr>
        <w:t>、30%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给予补助，补助期不超过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FF000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）积极引培电商生态企业。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对引培知名电商平台、社交平台或搜索引擎企业的服务型机构入驻永康的，按实际投资额（不含土建）的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5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给予一次性补助，单项最高不超过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eastAsia="zh-CN" w:bidi="ar"/>
        </w:rPr>
        <w:t>引导直播经济健康发展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鼓励企业创建“绿色直播间”，引导和规范直播经济健康发展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eastAsia="zh-CN" w:bidi="ar"/>
        </w:rPr>
        <w:t>对首次评定为“绿色直播间”的，按每个“绿色直播间”给予创建主体一次性奖励10万元。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）引导企业转型升级。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企业运营网店且年应税网络销售额达到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的，对第三方平台服务费用按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 xml:space="preserve"> 30%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的标准给予补助，每家企业每年补贴不超过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）支持电商企业做大做强。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企业通过应用电子商务销售，年网络销售额首次达到5000万元、1亿元、3亿元、5亿元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，且企业年综合贡献额达30万元、60万元、2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0万元、400万元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的，分别一次性奖励10万元、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）培育新业态推进共同富裕。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对通过电商平台或新零售方式帮助对口地区销售，线上线下销售额总共达到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的，按年网络销售额的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 xml:space="preserve"> 2%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 xml:space="preserve">予以奖励，每个企业奖励最高不超过 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 xml:space="preserve">30 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0000FF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七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）支持开展电商培训。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鼓励有资质的培训机构开展培训，对经报备，培训人数不少于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人且培训时长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天（含）以内的，单次给予不超过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万元的奖励；培训人数不少于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40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人且培训时长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天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的，单次给予不超过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1.5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万元的奖励；每家培训机构每年补助额不超过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 xml:space="preserve"> 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八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）提升电商公共服务。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鼓励打造镇级电商公共服务站，对面积达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平方米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，拥有专职人员的，经市电商办备案后，按项目实际投资额（不含土建，投资额达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20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一次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性补助，单个电商公共服务站最高奖励不超过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" w:cs="楷体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九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）推动品牌出海。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跨境电商企业取得境外注册商标且有销售实绩的，每件按实际注册费用的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80%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予以补助；单家企业每年最高补助不超过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（二十）壮大电商市场主体。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加大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电商一件事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数字化改革工作力度，进一步放宽电商主体住所（经营场所）登记条件。允许入驻电商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一件事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综合服务平台的电商主体开展市场主体集群注册，允许项目运营方为符合入驻要求的电商主体提供住所托管服务，登记机关在其营业执照住所（经营场所）后可不加注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（集群注册）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字样。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4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五、促进高质量发展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融入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双循环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格局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417FF9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）培育标杆示范主体。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对首次评定为国家级和省级电子商务产业基地（包括直播基地）的分别一次性奖励50万元、30万元。 对首次通过省等级评定的电商园区和企业，按3A、4A、5A级别分别一次性奖励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万元。对首次被评为省级电商示范村、省级农村电商示范服务站（点）的，分别一次性奖励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color w:val="417FF9"/>
          <w:kern w:val="2"/>
          <w:sz w:val="32"/>
          <w:szCs w:val="32"/>
        </w:rPr>
      </w:pP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对获评国家级、省级内外贸一体化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领跑者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”</w:t>
      </w:r>
      <w:r>
        <w:rPr>
          <w:rFonts w:hint="eastAsia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企业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称号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分别一次性奖励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万元。对获评新零售示范企业、优秀电商公共服务中心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的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一次性奖励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10万元。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对获评省级现代商贸特色镇、商贸发展示范村的，分别一次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性奖励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万元、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）鼓励品牌创建与推广。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对首次获得国家级、省级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老字号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、电子商务（含跨境电商）重点（示范、知名）品牌等称号的，分别一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次性奖励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30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万元、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eastAsia="zh-CN" w:bidi="ar"/>
        </w:rPr>
        <w:t>1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highlight w:val="none"/>
          <w:lang w:val="en-US" w:eastAsia="zh-CN" w:bidi="ar"/>
        </w:rPr>
        <w:t>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highlight w:val="no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b w:val="0"/>
          <w:color w:val="FF0000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）强化人才配套支撑。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推行千企百校计划。鼓励企业对接高校、知名平台等，合作培育电商类、外语类、营销类、供应链、国际贸易等相关专业人才，助力内外贸一体化发展。凡是第三方人才机构帮助我市企业签订校企合作协议或对接高校、平台，每年为永康引进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位大专学历</w:t>
      </w:r>
      <w:r>
        <w:rPr>
          <w:rFonts w:hint="eastAsia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及以上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相关专业人才，且实际就业年限不少于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年的（按缴纳社保时间计算），每引进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位人才给予</w:t>
      </w:r>
      <w:r>
        <w:rPr>
          <w:rFonts w:hint="default" w:ascii="Times New Roman" w:hAnsi="Times New Roman" w:eastAsia="仿宋" w:cs="Times New Roman"/>
          <w:b w:val="0"/>
          <w:kern w:val="2"/>
          <w:sz w:val="32"/>
          <w:szCs w:val="32"/>
          <w:lang w:val="en-US" w:eastAsia="zh-CN" w:bidi="ar"/>
        </w:rPr>
        <w:t>0.3</w:t>
      </w:r>
      <w:r>
        <w:rPr>
          <w:rFonts w:hint="default" w:ascii="Times New Roman" w:hAnsi="Times New Roman" w:eastAsia="仿宋" w:cs="仿宋"/>
          <w:b w:val="0"/>
          <w:kern w:val="2"/>
          <w:sz w:val="32"/>
          <w:szCs w:val="32"/>
          <w:lang w:val="en-US" w:eastAsia="zh-CN" w:bidi="ar"/>
        </w:rPr>
        <w:t>万元奖励。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黑体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六、附则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本意见具体条款由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永康市商务局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出台相关实施细则，明确申报流程和审查程序。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同一事项涉及多项奖励（补助）的，按“从高从优不重复”原则执行；同一事项晋档升级，属定额奖励（补助）的给予两档之间的差额奖励（补助）。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仿宋"/>
          <w:kern w:val="2"/>
          <w:sz w:val="32"/>
          <w:szCs w:val="32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六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本意见中的奖励与上年度亩产效益综合评价结果挂钩，对亩产效益综合评价A类、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B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类的，按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100%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予以奖励；对亩产效益综合评价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C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类的，按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70%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予以奖励；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D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类企业和未按要求参与亩产效益综合评价的，一律不予奖励，但根据文件规定不参与评价的企业，按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100%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予以奖励。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（二十</w:t>
      </w:r>
      <w:r>
        <w:rPr>
          <w:rFonts w:hint="eastAsia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七</w:t>
      </w:r>
      <w:r>
        <w:rPr>
          <w:rFonts w:hint="default" w:ascii="Times New Roman" w:hAnsi="Times New Roman" w:eastAsia="楷体" w:cs="楷体"/>
          <w:b w:val="0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本意见自2022年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" w:cs="仿宋"/>
          <w:kern w:val="2"/>
          <w:sz w:val="32"/>
          <w:szCs w:val="32"/>
          <w:lang w:val="en-US" w:eastAsia="zh-CN" w:bidi="ar"/>
        </w:rPr>
        <w:t>日起施行，</w:t>
      </w:r>
      <w:r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"/>
        </w:rPr>
        <w:t>有效期至2023年12月31日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2VlNTU3MTE1MGExNGIxZDMzZGRhY2JmMzNmMzEifQ=="/>
  </w:docVars>
  <w:rsids>
    <w:rsidRoot w:val="00000000"/>
    <w:rsid w:val="06733946"/>
    <w:rsid w:val="0ADF60BA"/>
    <w:rsid w:val="1B1461EB"/>
    <w:rsid w:val="1F9A529F"/>
    <w:rsid w:val="271C7CEE"/>
    <w:rsid w:val="2E5E4E85"/>
    <w:rsid w:val="3D904368"/>
    <w:rsid w:val="3FCF595A"/>
    <w:rsid w:val="3FF7DC66"/>
    <w:rsid w:val="415F0E28"/>
    <w:rsid w:val="4B285889"/>
    <w:rsid w:val="4E5807F4"/>
    <w:rsid w:val="4F883566"/>
    <w:rsid w:val="5D3007E4"/>
    <w:rsid w:val="5FC71A03"/>
    <w:rsid w:val="5FE3F94B"/>
    <w:rsid w:val="6D1C2871"/>
    <w:rsid w:val="6DBD3F48"/>
    <w:rsid w:val="6DE6B6C3"/>
    <w:rsid w:val="6EFBE2DF"/>
    <w:rsid w:val="6EFF5902"/>
    <w:rsid w:val="6F962E6B"/>
    <w:rsid w:val="6FCF9D8F"/>
    <w:rsid w:val="74335CE9"/>
    <w:rsid w:val="74396CAA"/>
    <w:rsid w:val="74FF4D90"/>
    <w:rsid w:val="768759DF"/>
    <w:rsid w:val="786D24F3"/>
    <w:rsid w:val="7B1E6A16"/>
    <w:rsid w:val="7DBB512D"/>
    <w:rsid w:val="7EED9A5E"/>
    <w:rsid w:val="7F0F354E"/>
    <w:rsid w:val="7FDEE7DA"/>
    <w:rsid w:val="8BFB5652"/>
    <w:rsid w:val="8FFFC3B0"/>
    <w:rsid w:val="AFFF797E"/>
    <w:rsid w:val="B4AFC2CE"/>
    <w:rsid w:val="B79FBADE"/>
    <w:rsid w:val="BA9FB861"/>
    <w:rsid w:val="BBD56EF9"/>
    <w:rsid w:val="BFBFEF13"/>
    <w:rsid w:val="BFED0838"/>
    <w:rsid w:val="D4EF4A8A"/>
    <w:rsid w:val="D7EC6CBF"/>
    <w:rsid w:val="DBF6B62E"/>
    <w:rsid w:val="DDFF911D"/>
    <w:rsid w:val="DE993C4C"/>
    <w:rsid w:val="DF6D6928"/>
    <w:rsid w:val="EE5F1987"/>
    <w:rsid w:val="EFAF951B"/>
    <w:rsid w:val="F5EF1704"/>
    <w:rsid w:val="F68E5470"/>
    <w:rsid w:val="F772605C"/>
    <w:rsid w:val="FD594667"/>
    <w:rsid w:val="FF6F9EA5"/>
    <w:rsid w:val="FF7DE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line="580" w:lineRule="exact"/>
      <w:ind w:firstLine="88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styleId="3">
    <w:name w:val="Normal Indent"/>
    <w:basedOn w:val="1"/>
    <w:qFormat/>
    <w:uiPriority w:val="0"/>
    <w:pPr>
      <w:ind w:firstLine="420"/>
    </w:pPr>
    <w:rPr>
      <w:szCs w:val="21"/>
    </w:r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"/>
    <w:basedOn w:val="4"/>
    <w:qFormat/>
    <w:uiPriority w:val="99"/>
    <w:pPr>
      <w:ind w:firstLine="420" w:firstLineChars="100"/>
    </w:pPr>
    <w:rPr>
      <w:szCs w:val="21"/>
    </w:r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BodyText1I"/>
    <w:basedOn w:val="13"/>
    <w:qFormat/>
    <w:uiPriority w:val="0"/>
    <w:pPr>
      <w:spacing w:after="120" w:line="240" w:lineRule="auto"/>
      <w:ind w:firstLine="420" w:firstLineChars="100"/>
      <w:jc w:val="both"/>
    </w:pPr>
  </w:style>
  <w:style w:type="paragraph" w:customStyle="1" w:styleId="13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1"/>
      <w:lang w:val="en-US" w:eastAsia="zh-CN" w:bidi="ar-SA"/>
    </w:rPr>
  </w:style>
  <w:style w:type="paragraph" w:customStyle="1" w:styleId="14">
    <w:name w:val="List Paragraph_3039f458-8bbc-46a8-8497-2d460b53dc8a"/>
    <w:basedOn w:val="1"/>
    <w:qFormat/>
    <w:uiPriority w:val="0"/>
    <w:pPr>
      <w:ind w:firstLine="420" w:firstLineChars="200"/>
    </w:pPr>
  </w:style>
  <w:style w:type="paragraph" w:customStyle="1" w:styleId="15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3599</Words>
  <Characters>3775</Characters>
  <Lines>1</Lines>
  <Paragraphs>1</Paragraphs>
  <TotalTime>4</TotalTime>
  <ScaleCrop>false</ScaleCrop>
  <LinksUpToDate>false</LinksUpToDate>
  <CharactersWithSpaces>3786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2022-03-26T01:16:00Z</dcterms:created>
  <dc:creator>Administrator.PC-20211223SIRF</dc:creator>
  <cp:lastModifiedBy>好看girl</cp:lastModifiedBy>
  <cp:lastPrinted>2022-08-29T13:53:00Z</cp:lastPrinted>
  <dcterms:modified xsi:type="dcterms:W3CDTF">2022-09-02T06:09:14Z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22B3DC3579524AEB8DDF7638E83D4C41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