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永康市人民政府办公室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关于</w:t>
      </w: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推进永康市</w:t>
      </w: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内外贸一体化高质量发展的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若干意见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88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各镇人民政府、街道办事处，经济开发区、现代农业装备高新区、方岩风景名胜区、江南山水新城管委会，市政府各部门：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为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进一步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培育永康特色产业参与国际国内市场竞争新优势，高质量融入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双循环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新发展格局，推动内外贸一体化深度融合发展，助力打造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世界五金之都 品质活力永康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经市政府第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次常务会议研究同意，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提出以下意见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caps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一、优化商贸流通体系</w:t>
      </w:r>
      <w:r>
        <w:rPr>
          <w:rFonts w:hint="eastAsia" w:ascii="Times New Roman" w:hAnsi="Times New Roman" w:eastAsia="黑体" w:cs="黑体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畅通</w:t>
      </w:r>
      <w:r>
        <w:rPr>
          <w:rFonts w:hint="default" w:ascii="Times New Roman" w:hAnsi="Times New Roman" w:eastAsia="黑体" w:cs="Times New Roman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黑体" w:cs="黑体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内循环</w:t>
      </w:r>
      <w:r>
        <w:rPr>
          <w:rFonts w:hint="default" w:ascii="Times New Roman" w:hAnsi="Times New Roman" w:eastAsia="黑体" w:cs="Times New Roman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 xml:space="preserve">”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（一）规范商贸企业发展。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对月度新增、年度新增纳入限额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批零统计库（以下简称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入统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）的商贸主体，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并在库两年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的，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万元。批发企业首次入统且当年销售额增量达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，零售企业首次入统且当年零售额增量达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的，再分别一次性奖励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60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万元。鼓励工业企业分离设立贸易企业，对首次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入统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且年销售额达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60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（二）培育重点企业发展。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入统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年销售额达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的批发企业，达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的零售企业，且当年销售额同比增速达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15%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的（或高于同行业平均增幅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；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关联企业增速按总量核算），按年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应税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销售额的万分之六予以奖励。对在库两年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，当年销售额增幅达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的限下样本单位（含个体）给予每家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每年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补助。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（三）支持抱团升限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 xml:space="preserve">入统 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对专业市场、大型商业综合体的所有在库商贸单位，每年体现在统计库上的零售额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合计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达到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，或批发额合计达到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的，分别一次性奖励管理方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（四）打造多元化消费场景。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大力发展首店经济、夜间经济。允许已纳入批零统计库的或组织抱团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入统总销售额达1亿元及以上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专业市场、大型商业综合体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运营企业外摆经营，适当延长夜间营业时间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该类运营企业引进国际、国内、区域特色连锁品牌或高成长性新锐品牌来永设立首店的，每引进一个品牌，分别给予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万元的奖励，单个企业每年累计奖励不超过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（五）深化再生资源回收体系建设。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支持建设标准化再生资源分拣中心，建成后对再生资源回收企业（工业固废回收及报废机动车回收拆解企业除外）购置加工整理机械、运输车辆、软硬件等投资额达到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的，按投资额的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给予一次性奖励，单个企业最高奖励不超过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（六）积极招引大型商贸企业。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对招引后新入统且年销售额达1亿元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的批发企业或5000万元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的零售企业，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按其</w:t>
      </w:r>
      <w:r>
        <w:rPr>
          <w:rFonts w:hint="default" w:ascii="Times New Roman" w:hAnsi="Times New Roman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"/>
        </w:rPr>
        <w:t>增值额地方贡献部分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的80%予以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奖励；入统后第二年、第三年年增速达10%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的，分别按其</w:t>
      </w:r>
      <w:r>
        <w:rPr>
          <w:rFonts w:hint="default" w:ascii="Times New Roman" w:hAnsi="Times New Roman" w:eastAsia="仿宋" w:cs="仿宋"/>
          <w:b w:val="0"/>
          <w:bCs w:val="0"/>
          <w:kern w:val="2"/>
          <w:sz w:val="32"/>
          <w:szCs w:val="32"/>
          <w:lang w:val="en-US" w:eastAsia="zh-CN" w:bidi="ar"/>
        </w:rPr>
        <w:t>增值额地方贡献部分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的60%、50%予以奖励。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二、推进高水平对外开放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融入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外循环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color w:val="0000FF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（七）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鼓励进出口贸易稳增提质。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鼓励企业创建自主品牌；支持参加境内外展会，包括代参展；推动开展国际标准认定；支持做大进口规模。引导企业防范风险，支持投保出口信用保险，支持利用出口信用保险及跨境电商贸易融资。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加大拓展外贸增量力度，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招引外贸企业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落户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永康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 w:bidi="ar"/>
        </w:rPr>
        <w:t>三、深化国际经贸合作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 w:bidi="ar"/>
        </w:rPr>
        <w:t>促进外商投资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" w:cs="仿宋"/>
          <w:kern w:val="2"/>
          <w:sz w:val="32"/>
          <w:szCs w:val="32"/>
        </w:rPr>
      </w:pPr>
      <w:r>
        <w:rPr>
          <w:rFonts w:hint="default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（八）加大招引外资力度</w:t>
      </w:r>
      <w:r>
        <w:rPr>
          <w:rFonts w:hint="eastAsia" w:ascii="Times New Roman" w:hAnsi="Times New Roman" w:eastAsia="楷体_GB2312" w:cs="楷体_GB2312"/>
          <w:color w:val="000000"/>
          <w:kern w:val="2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推动对外投资合作高质量发展</w:t>
      </w:r>
      <w:r>
        <w:rPr>
          <w:rFonts w:hint="eastAsia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强化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外资项目招引，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鼓励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创建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国际产业合作园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，引导资源集聚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。引导企业有序“走出去”，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鼓励通过新设或并购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高质量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开展境外投资。引导企业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海外投资保险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eastAsia="zh-CN" w:bidi="ar"/>
        </w:rPr>
        <w:t>规避境外投资风险。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总投资3000万美元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的外资项目视同为永康市重大招商引资项目，优先供地</w:t>
      </w:r>
      <w:r>
        <w:rPr>
          <w:rFonts w:hint="default" w:ascii="Times New Roman" w:hAnsi="Times New Roman" w:eastAsia="仿宋" w:cs="仿宋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" w:cs="仿宋"/>
          <w:kern w:val="2"/>
          <w:sz w:val="32"/>
          <w:szCs w:val="32"/>
          <w:highlight w:val="none"/>
          <w:lang w:eastAsia="zh-CN" w:bidi="ar"/>
        </w:rPr>
        <w:t>可视情</w:t>
      </w:r>
      <w:r>
        <w:rPr>
          <w:rFonts w:hint="default" w:ascii="Times New Roman" w:hAnsi="Times New Roman" w:eastAsia="仿宋" w:cs="仿宋"/>
          <w:kern w:val="2"/>
          <w:sz w:val="32"/>
          <w:szCs w:val="32"/>
          <w:highlight w:val="none"/>
          <w:lang w:val="en-US" w:eastAsia="zh-CN" w:bidi="ar"/>
        </w:rPr>
        <w:t>享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受相应招商引资政策，同时享受实到外资奖励。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960" w:firstLineChars="3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 w:bidi="ar"/>
        </w:rPr>
        <w:t>四、树立电商发展标杆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 w:bidi="ar"/>
        </w:rPr>
        <w:t>扶持新业态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九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）规范电商企业发展。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境内电商入统企业年销售额首次达到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，且同比增长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的；跨境电商入统企业年销售额首次达到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1500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，且同比增长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的；分别予以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万元的一次性奖励。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（十）着力引培电商平台。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企业自建国内线上交易平台，线上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交易额首次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达到5000万元且定期报送数据的，给予10万元奖励，每提高5000万元再追加一次性奖励10万元，单个平台累计奖励不超过100万元。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支持跨境电商平台以注册独立法人形式落户永康。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）推动园区集聚发展。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对经市政府认定，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2021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年后新打造的电商园区或物流仓储集聚区（以下简称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园区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），面积达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㎡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，入驻电商主体（含服务机构）</w:t>
      </w:r>
      <w:bookmarkStart w:id="0" w:name="_GoBack"/>
      <w:bookmarkEnd w:id="0"/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家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的，按实际投资额（不含土建）的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5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予以一次性补助，单个企业补助不超过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万元。鼓励引导企业纳入限额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统计库，每培育一家首次入统的企业，一次性奖励园区（基地）运营主体3万元。 对已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入统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的电商企业或服务企业，在经认定的园区内租用办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公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仓储用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地的，按实际租金的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7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0%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eastAsia="zh-CN" w:bidi="ar"/>
        </w:rPr>
        <w:t>、30%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给予补助，补助期不超过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color w:val="FF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）积极引培电商生态企业。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对引培知名电商平台、社交平台或搜索引擎企业的服务型机构入驻永康的，按实际投资额（不含土建）的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5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给予一次性补助，单项最高不超过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eastAsia="zh-CN" w:bidi="ar"/>
        </w:rPr>
        <w:t>引导直播经济健康发展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鼓励企业创建“绿色直播间”，引导和规范直播经济健康发展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对首次评定为“绿色直播间”的，按每个“绿色直播间”给予创建主体一次性奖励10万元。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）引导企业转型升级。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企业运营网店且年应税网络销售额达到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的，对第三方平台服务费用按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 xml:space="preserve"> 30%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的标准给予补助，每家企业每年补贴不超过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）支持电商企业做大做强。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企业通过应用电子商务销售，年网络销售额首次达到5000万元、1亿元、3亿元、5亿元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，且企业年综合贡献额达30万元、60万元、2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0万元、400万元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的，分别一次性奖励10万元、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六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）培育新业态推进共同富裕。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对通过电商平台或新零售方式帮助对口地区销售，线上线下销售额总共达到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的，按年网络销售额的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 xml:space="preserve">予以奖励，每个企业奖励最高不超过 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 xml:space="preserve">30 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七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）支持开展电商培训。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鼓励有资质的培训机构开展培训，对经报备，培训人数不少于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人且培训时长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天（含）以内的，单次给予不超过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万元的奖励；培训人数不少于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人且培训时长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天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的，单次给予不超过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1.5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万元的奖励；每家培训机构每年补助额不超过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 xml:space="preserve"> 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八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）提升电商公共服务。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鼓励打造镇级电商公共服务站，对面积达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平方米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，拥有专职人员的，经市电商办备案后，按项目实际投资额（不含土建，投资额达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20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一次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性补助，单个电商公共服务站最高奖励不超过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" w:cs="楷体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九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）推动品牌出海。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跨境电商企业取得境外注册商标且有销售实绩的，每件按实际注册费用的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80%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予以补助；单家企业每年最高补助不超过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（二十）壮大电商市场主体。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加大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电商一件事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数字化改革工作力度，进一步放宽电商主体住所（经营场所）登记条件。允许入驻电商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一件事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综合服务平台的电商主体开展市场主体集群注册，允许项目运营方为符合入驻要求的电商主体提供住所托管服务，登记机关在其营业执照住所（经营场所）后可不加注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（集群注册）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字样。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五、促进高质量发展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融入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双循环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格局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417FF9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）培育标杆示范主体。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对首次评定为国家级和省级电子商务产业基地（包括直播基地）的分别一次性奖励50万元、30万元。 对首次通过省等级评定的电商园区和企业，按3A、4A、5A级别分别一次性奖励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万元。对首次被评为省级电商示范村、省级农村电商示范服务站（点）的，分别一次性奖励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417FF9"/>
          <w:kern w:val="2"/>
          <w:sz w:val="32"/>
          <w:szCs w:val="32"/>
        </w:rPr>
      </w:pP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对获评国家级、省级内外贸一体化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领跑者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”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企业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称号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万元。对获评新零售示范企业、优秀电商公共服务中心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一次性奖励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10万元。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对获评省级现代商贸特色镇、商贸发展示范村的，分别一次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）鼓励品牌创建与推广。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对首次获得国家级、省级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老字号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、电子商务（含跨境电商）重点（示范、知名）品牌等称号的，分别一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次性奖励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万元、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1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）强化人才配套支撑。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推行千企百校计划。鼓励企业对接高校、知名平台等，合作培育电商类、外语类、营销类、供应链、国际贸易等相关专业人才，助力内外贸一体化发展。凡是第三方人才机构帮助我市企业签订校企合作协议或对接高校、平台，每年为永康引进不少于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位大专学历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相关专业人才，且实际就业年限不少于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年的（按缴纳社保时间计算），每引进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位人才给予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0.3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万元奖励。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黑体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六、附则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本意见具体条款由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永康市商务局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出台相关实施细则，明确申报流程和审查程序。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同一事项涉及多项奖励（补助）的，按“从高从优不重复”原则执行；同一事项晋档升级，属定额奖励（补助）的给予两档之间的差额奖励（补助）。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六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本意见中的奖励与上年度亩产效益综合评价结果挂钩，对亩产效益综合评价A类、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B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类的，按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100%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予以奖励；对亩产效益综合评价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C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类的，按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70%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予以奖励；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D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类企业和未按要求参与亩产效益综合评价的，一律不予奖励，但根据文件规定不参与评价的企业，按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100%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予以奖励。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七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本意见自2022年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日起施行，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有效期至2023年12月31日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11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line="580" w:lineRule="exact"/>
      <w:ind w:firstLine="88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paragraph" w:styleId="3">
    <w:name w:val="Body Text First Indent"/>
    <w:basedOn w:val="4"/>
    <w:qFormat/>
    <w:uiPriority w:val="99"/>
    <w:pPr>
      <w:ind w:firstLine="420" w:firstLineChars="100"/>
    </w:pPr>
    <w:rPr>
      <w:szCs w:val="21"/>
    </w:r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Normal Indent"/>
    <w:basedOn w:val="1"/>
    <w:qFormat/>
    <w:uiPriority w:val="0"/>
    <w:pPr>
      <w:ind w:firstLine="420"/>
    </w:pPr>
    <w:rPr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Emphasis"/>
    <w:basedOn w:val="9"/>
    <w:qFormat/>
    <w:uiPriority w:val="0"/>
    <w:rPr>
      <w:i/>
    </w:rPr>
  </w:style>
  <w:style w:type="paragraph" w:customStyle="1" w:styleId="12">
    <w:name w:val="BodyText1I"/>
    <w:basedOn w:val="13"/>
    <w:qFormat/>
    <w:uiPriority w:val="0"/>
    <w:pPr>
      <w:spacing w:after="120" w:line="240" w:lineRule="auto"/>
      <w:ind w:firstLine="420" w:firstLineChars="100"/>
      <w:jc w:val="both"/>
    </w:pPr>
  </w:style>
  <w:style w:type="paragraph" w:customStyle="1" w:styleId="13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1"/>
      <w:lang w:val="en-US" w:eastAsia="zh-CN" w:bidi="ar-SA"/>
    </w:rPr>
  </w:style>
  <w:style w:type="paragraph" w:customStyle="1" w:styleId="14">
    <w:name w:val="List Paragraph_3039f458-8bbc-46a8-8497-2d460b53dc8a"/>
    <w:basedOn w:val="1"/>
    <w:qFormat/>
    <w:uiPriority w:val="0"/>
    <w:pPr>
      <w:ind w:firstLine="420" w:firstLineChars="200"/>
    </w:pPr>
  </w:style>
  <w:style w:type="paragraph" w:customStyle="1" w:styleId="15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3500</Words>
  <Characters>3670</Characters>
  <Lines>1</Lines>
  <Paragraphs>1</Paragraphs>
  <ScaleCrop>false</ScaleCrop>
  <LinksUpToDate>false</LinksUpToDate>
  <CharactersWithSpaces>3685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2022-03-26T09:16:00Z</dcterms:created>
  <dc:creator>Administrator.PC-20211223SIRF</dc:creator>
  <cp:lastModifiedBy>好看🐶</cp:lastModifiedBy>
  <cp:lastPrinted>2022-08-29T21:53:00Z</cp:lastPrinted>
  <dcterms:modified xsi:type="dcterms:W3CDTF">2022-09-07T15:41:18Z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2052-11.28.1</vt:lpwstr>
  </property>
  <property fmtid="{D5CDD505-2E9C-101B-9397-08002B2CF9AE}" pid="3" name="ICV">
    <vt:lpwstr>22B3DC3579524AEB8DDF7638E83D4C41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