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E4" w:rsidRDefault="003650ED" w:rsidP="00D27F3A">
      <w:pPr>
        <w:spacing w:line="540" w:lineRule="exact"/>
        <w:ind w:right="320" w:firstLine="640"/>
        <w:jc w:val="right"/>
        <w:rPr>
          <w:rFonts w:ascii="Times New Roman" w:eastAsia="宋体" w:hAnsi="Times New Roman" w:cs="Times New Roman"/>
          <w:sz w:val="32"/>
          <w:szCs w:val="32"/>
        </w:rPr>
      </w:pPr>
      <w:bookmarkStart w:id="0" w:name="_GoBack"/>
      <w:bookmarkEnd w:id="0"/>
      <w:r>
        <w:rPr>
          <w:rFonts w:ascii="Times New Roman" w:eastAsia="宋体" w:hAnsi="Times New Roman" w:cs="Times New Roman"/>
          <w:sz w:val="32"/>
          <w:szCs w:val="32"/>
        </w:rPr>
        <w:t>GYKD01-2020-000</w:t>
      </w:r>
      <w:r>
        <w:rPr>
          <w:rFonts w:ascii="Times New Roman" w:eastAsia="宋体" w:hAnsi="Times New Roman" w:cs="Times New Roman" w:hint="eastAsia"/>
          <w:sz w:val="32"/>
          <w:szCs w:val="32"/>
        </w:rPr>
        <w:t>8</w:t>
      </w:r>
    </w:p>
    <w:p w:rsidR="001246E4" w:rsidRDefault="001246E4">
      <w:pPr>
        <w:spacing w:line="540" w:lineRule="exact"/>
      </w:pPr>
    </w:p>
    <w:p w:rsidR="001246E4" w:rsidRDefault="001246E4">
      <w:pPr>
        <w:spacing w:line="540" w:lineRule="exact"/>
      </w:pPr>
    </w:p>
    <w:p w:rsidR="001246E4" w:rsidRDefault="001246E4">
      <w:pPr>
        <w:spacing w:line="540" w:lineRule="exact"/>
      </w:pPr>
    </w:p>
    <w:p w:rsidR="001246E4" w:rsidRDefault="001246E4">
      <w:pPr>
        <w:spacing w:line="540" w:lineRule="exact"/>
      </w:pPr>
    </w:p>
    <w:p w:rsidR="001246E4" w:rsidRDefault="001246E4">
      <w:pPr>
        <w:tabs>
          <w:tab w:val="right" w:pos="8306"/>
        </w:tabs>
        <w:spacing w:line="540" w:lineRule="exact"/>
      </w:pPr>
    </w:p>
    <w:p w:rsidR="001246E4" w:rsidRDefault="003650ED">
      <w:pPr>
        <w:spacing w:line="540" w:lineRule="exact"/>
        <w:jc w:val="center"/>
        <w:rPr>
          <w:rFonts w:ascii="Times New Roman" w:eastAsia="仿宋_GB2312" w:hAnsi="Times New Roman" w:cs="Times New Roman"/>
          <w:sz w:val="32"/>
          <w:szCs w:val="32"/>
        </w:rPr>
      </w:pPr>
      <w:bookmarkStart w:id="1" w:name="FileCode"/>
      <w:bookmarkStart w:id="2" w:name="blackFontArea"/>
      <w:r>
        <w:rPr>
          <w:rFonts w:ascii="Times New Roman" w:eastAsia="仿宋_GB2312" w:hAnsi="Times New Roman" w:cs="Times New Roman"/>
          <w:sz w:val="32"/>
          <w:szCs w:val="32"/>
        </w:rPr>
        <w:t>永政办发</w:t>
      </w:r>
      <w:bookmarkEnd w:id="1"/>
      <w:r>
        <w:rPr>
          <w:rFonts w:ascii="Times New Roman" w:eastAsia="仿宋_GB2312" w:hAnsi="Times New Roman" w:cs="Times New Roman"/>
          <w:sz w:val="32"/>
          <w:szCs w:val="32"/>
        </w:rPr>
        <w:t>〔</w:t>
      </w:r>
      <w:bookmarkStart w:id="3" w:name="FileYear"/>
      <w:r>
        <w:rPr>
          <w:rFonts w:ascii="Times New Roman" w:eastAsia="仿宋_GB2312" w:hAnsi="Times New Roman" w:cs="Times New Roman"/>
          <w:sz w:val="32"/>
          <w:szCs w:val="32"/>
        </w:rPr>
        <w:t>2020</w:t>
      </w:r>
      <w:bookmarkEnd w:id="3"/>
      <w:r>
        <w:rPr>
          <w:rFonts w:ascii="Times New Roman" w:eastAsia="仿宋_GB2312" w:hAnsi="Times New Roman" w:cs="Times New Roman"/>
          <w:sz w:val="32"/>
          <w:szCs w:val="32"/>
        </w:rPr>
        <w:t>〕</w:t>
      </w:r>
      <w:bookmarkStart w:id="4" w:name="FileNo"/>
      <w:r>
        <w:rPr>
          <w:rFonts w:ascii="Times New Roman" w:eastAsia="仿宋_GB2312" w:hAnsi="Times New Roman" w:cs="Times New Roman"/>
          <w:sz w:val="32"/>
          <w:szCs w:val="32"/>
        </w:rPr>
        <w:t>42</w:t>
      </w:r>
      <w:bookmarkEnd w:id="4"/>
      <w:r>
        <w:rPr>
          <w:rFonts w:ascii="Times New Roman" w:eastAsia="仿宋_GB2312" w:hAnsi="Times New Roman" w:cs="Times New Roman"/>
          <w:sz w:val="32"/>
          <w:szCs w:val="32"/>
        </w:rPr>
        <w:t>号</w:t>
      </w:r>
    </w:p>
    <w:bookmarkEnd w:id="2"/>
    <w:p w:rsidR="001246E4" w:rsidRDefault="001246E4">
      <w:pPr>
        <w:spacing w:line="540" w:lineRule="exact"/>
      </w:pPr>
    </w:p>
    <w:p w:rsidR="001246E4" w:rsidRDefault="001246E4">
      <w:pPr>
        <w:spacing w:line="540" w:lineRule="exact"/>
      </w:pPr>
    </w:p>
    <w:p w:rsidR="001246E4" w:rsidRDefault="003650ED">
      <w:pPr>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永康市人民政府办公室</w:t>
      </w:r>
    </w:p>
    <w:p w:rsidR="001246E4" w:rsidRDefault="003650ED">
      <w:pPr>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关于进一步规范机制砂场管理的实施意见</w:t>
      </w:r>
    </w:p>
    <w:p w:rsidR="001246E4" w:rsidRDefault="001246E4">
      <w:pPr>
        <w:spacing w:line="600" w:lineRule="exact"/>
        <w:rPr>
          <w:rFonts w:ascii="仿宋_GB2312" w:eastAsia="仿宋_GB2312" w:hAnsi="Times New Roman" w:cs="Times New Roman"/>
          <w:sz w:val="32"/>
          <w:szCs w:val="32"/>
        </w:rPr>
      </w:pPr>
    </w:p>
    <w:p w:rsidR="00CF1446" w:rsidRDefault="003650ED">
      <w:pPr>
        <w:spacing w:line="600" w:lineRule="exact"/>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各镇人民政府、街道办事处，经济开发区、现代农业装备高新区（城西新区）、方岩风景名胜区、江南山水新城管委会，市政府各部门：</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为进一步规范机制砂行业管理，合法高效利用砂石资源，维护砂石市场秩序，保护生态环境，根据《</w:t>
      </w:r>
      <w:r>
        <w:rPr>
          <w:rFonts w:ascii="Times New Roman" w:eastAsia="仿宋_GB2312" w:hAnsi="Times New Roman" w:cs="Times New Roman" w:hint="eastAsia"/>
          <w:sz w:val="32"/>
          <w:szCs w:val="32"/>
        </w:rPr>
        <w:t>金华市人民政府</w:t>
      </w:r>
      <w:r>
        <w:rPr>
          <w:rFonts w:ascii="Times New Roman" w:eastAsia="仿宋_GB2312" w:hAnsi="Times New Roman" w:cs="Times New Roman"/>
          <w:sz w:val="32"/>
          <w:szCs w:val="32"/>
        </w:rPr>
        <w:t>关于加强全市砂石资源管理工作的意见》（金政发〔</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w:t>
      </w:r>
      <w:r>
        <w:rPr>
          <w:rFonts w:ascii="Times New Roman" w:eastAsia="仿宋_GB2312" w:hAnsi="Times New Roman" w:cs="Times New Roman"/>
          <w:sz w:val="32"/>
          <w:szCs w:val="32"/>
        </w:rPr>
        <w:t>52</w:t>
      </w:r>
      <w:r>
        <w:rPr>
          <w:rFonts w:ascii="Times New Roman" w:eastAsia="仿宋_GB2312" w:hAnsi="Times New Roman" w:cs="Times New Roman"/>
          <w:sz w:val="32"/>
          <w:szCs w:val="32"/>
        </w:rPr>
        <w:t>号）和《</w:t>
      </w:r>
      <w:r>
        <w:rPr>
          <w:rFonts w:ascii="Times New Roman" w:eastAsia="仿宋_GB2312" w:hAnsi="Times New Roman" w:cs="Times New Roman" w:hint="eastAsia"/>
          <w:sz w:val="32"/>
          <w:szCs w:val="32"/>
        </w:rPr>
        <w:t>中共金华市委办公室</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金华市人民政府办公室</w:t>
      </w:r>
      <w:r>
        <w:rPr>
          <w:rFonts w:ascii="Times New Roman" w:eastAsia="仿宋_GB2312" w:hAnsi="Times New Roman" w:cs="Times New Roman"/>
          <w:sz w:val="32"/>
          <w:szCs w:val="32"/>
        </w:rPr>
        <w:t>关于进一步深化市区砂石资源管理意见》（金委办发〔</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号）精神，</w:t>
      </w:r>
      <w:r>
        <w:rPr>
          <w:rFonts w:ascii="仿宋_GB2312" w:eastAsia="仿宋_GB2312" w:hAnsi="黑体" w:cs="微软雅黑" w:hint="eastAsia"/>
          <w:color w:val="000000" w:themeColor="text1"/>
          <w:sz w:val="32"/>
          <w:szCs w:val="32"/>
        </w:rPr>
        <w:t>经市十七届政府第五十一次常务会议审议同意，</w:t>
      </w:r>
      <w:r>
        <w:rPr>
          <w:rFonts w:ascii="Times New Roman" w:eastAsia="仿宋_GB2312" w:hAnsi="Times New Roman" w:cs="Times New Roman" w:hint="eastAsia"/>
          <w:sz w:val="32"/>
          <w:szCs w:val="32"/>
        </w:rPr>
        <w:t>现就进一步规范机制砂场管理工作提出如下实施意见：</w:t>
      </w:r>
    </w:p>
    <w:p w:rsidR="001246E4" w:rsidRDefault="003650ED">
      <w:pPr>
        <w:spacing w:line="600" w:lineRule="exact"/>
        <w:ind w:firstLineChars="200" w:firstLine="640"/>
        <w:rPr>
          <w:rFonts w:ascii="黑体" w:eastAsia="黑体" w:hAnsi="黑体" w:cs="Times New Roman"/>
          <w:sz w:val="32"/>
          <w:szCs w:val="32"/>
        </w:rPr>
      </w:pPr>
      <w:r>
        <w:rPr>
          <w:rFonts w:ascii="黑体" w:eastAsia="黑体" w:hAnsi="黑体" w:cs="Times New Roman"/>
          <w:sz w:val="32"/>
          <w:szCs w:val="32"/>
        </w:rPr>
        <w:lastRenderedPageBreak/>
        <w:t>一、管理范围</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本意见仅适用全市范围内所有利用外购原料经生产加工形成砂石产品的生产经营场所管理。市级以上重点工程项目制砂场不适用本意见。</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机制砂场实行划片布点模式，一片一点。根据砂石市场需求，全市共设机制砂经营场所</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处：花街镇、西城街道、城西新区行政区域范围设一处（简称西片）；芝英镇、古山镇、方岩镇、龙山镇、西溪镇、象珠镇、唐先镇行政区域范围设一处（简称北片）；石柱镇、前仓镇、舟山镇、江南街道、东城街道、经济开发区行政区域范围设一处（简称东南片）。</w:t>
      </w:r>
    </w:p>
    <w:p w:rsidR="001246E4" w:rsidRDefault="003650ED">
      <w:pPr>
        <w:spacing w:line="600" w:lineRule="exact"/>
        <w:ind w:firstLineChars="200" w:firstLine="640"/>
        <w:rPr>
          <w:rFonts w:ascii="黑体" w:eastAsia="黑体" w:hAnsi="黑体" w:cs="Times New Roman"/>
          <w:sz w:val="32"/>
          <w:szCs w:val="32"/>
        </w:rPr>
      </w:pPr>
      <w:r>
        <w:rPr>
          <w:rFonts w:ascii="黑体" w:eastAsia="黑体" w:hAnsi="黑体" w:cs="Times New Roman"/>
          <w:sz w:val="32"/>
          <w:szCs w:val="32"/>
        </w:rPr>
        <w:t>二、经营权管理</w:t>
      </w:r>
    </w:p>
    <w:p w:rsidR="001246E4" w:rsidRDefault="003650ED">
      <w:pPr>
        <w:spacing w:line="600"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（一）出让程序。</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机制砂场经营权实行公开出让。出让方案由市自然资源和规划局负责编制，经市政府同意后，委托市公共资源交易中心公开出让。机制砂经营权的出让期限不得超过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年，出让年限自机制砂场选址经市政府批复同意之日起顺延一个月计算。</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机制砂经营权公开出让结果应公示</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个工作日，公示结束后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日内签订出让合同，出让合同签订后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日内缴清出让金</w:t>
      </w:r>
      <w:r>
        <w:rPr>
          <w:rFonts w:ascii="Times New Roman" w:eastAsia="仿宋_GB2312" w:hAnsi="Times New Roman" w:cs="Times New Roman" w:hint="eastAsia"/>
          <w:sz w:val="32"/>
          <w:szCs w:val="32"/>
        </w:rPr>
        <w:t>；未按时缴纳的视为弃权，没收保证金。</w:t>
      </w:r>
    </w:p>
    <w:p w:rsidR="001246E4" w:rsidRDefault="003650ED">
      <w:pPr>
        <w:spacing w:line="600"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sz w:val="32"/>
          <w:szCs w:val="32"/>
        </w:rPr>
        <w:t>（二）生产经营场所确定。</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机制砂经营权竞得人在签订出让合同后一个月内确定机制</w:t>
      </w:r>
      <w:r>
        <w:rPr>
          <w:rFonts w:ascii="Times New Roman" w:eastAsia="仿宋_GB2312" w:hAnsi="Times New Roman" w:cs="Times New Roman"/>
          <w:sz w:val="32"/>
          <w:szCs w:val="32"/>
        </w:rPr>
        <w:lastRenderedPageBreak/>
        <w:t>砂生产经营场所拟选址范围，并向选址范围所在镇（街道、区）提出选址申请。机制砂生产经营场所用地面积控制在</w:t>
      </w:r>
      <w:r>
        <w:rPr>
          <w:rFonts w:ascii="Times New Roman" w:eastAsia="仿宋_GB2312" w:hAnsi="Times New Roman" w:cs="Times New Roman"/>
          <w:sz w:val="32"/>
          <w:szCs w:val="32"/>
        </w:rPr>
        <w:t>20000</w:t>
      </w:r>
      <w:r>
        <w:rPr>
          <w:rFonts w:ascii="Times New Roman" w:eastAsia="仿宋_GB2312" w:hAnsi="Times New Roman" w:cs="Times New Roman"/>
          <w:sz w:val="32"/>
          <w:szCs w:val="32"/>
        </w:rPr>
        <w:t>平方米以内，不得占用基本农田、城镇建成区、生态红线区和国、省道、铁路沿线</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米可视范围，避让饮用水源保护区、河道保护范围和市域干线公路沿线等法律、法规和相关行业规划规定必须避让的区域。</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砂石资源管理领导小组办公室（以下简称砂石办）牵头组织市生态环境分局、市综合执法局、市应急管理局、市交通运输局、市水务局等部门，对机制砂经营权竞得人上报的选址场地进行联合踏勘、选址论证，拟定场地位置、范围等经营权要素。所在镇（街道、区）负责对机制砂经营选址情况进行公示</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日，公示结束无异议后由</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砂石办上报市政府审批。</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机制砂经营场地的政策处理工作由所在镇（街道、区）牵头，机制砂经营权竞得人具体参与。市自然资源和规划局负责审批办理机制砂经营场地临时用地。</w:t>
      </w:r>
    </w:p>
    <w:p w:rsidR="001246E4" w:rsidRDefault="003650ED">
      <w:pPr>
        <w:spacing w:line="600"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（三）生产经营条件。</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受让人在进行机制砂生产经营前，需具备以下条件：</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按规定办理工商注册登记。</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办理生产经营场所用地审批。</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生产经营场所修建围墙、安装称重地磅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并通过验收。验收程序为：</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生产经营场所建设完工后，向砂石办提出验收申请。</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砂石办牵头组织市生态环境分局、市综合执法局、市应急管理局、市水务局等部门进行标准化建设的现场考核。现场考核</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分以上（含）的，通过初验；现场考核</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分以下的，出具整改意见书，要求限期整改。</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完成环评审批手续。</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取得取水许可，按规定编报水土保护方案并落实相关措施。</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制砂原料有合法来源。</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具备安全生产法律法规规定的安全生产条件，安全设施验收合格，配备专业技术人员和专职安全管理人员。</w:t>
      </w:r>
    </w:p>
    <w:p w:rsidR="001246E4" w:rsidRDefault="003650ED">
      <w:pPr>
        <w:spacing w:line="600" w:lineRule="exact"/>
        <w:ind w:firstLineChars="200" w:firstLine="640"/>
        <w:rPr>
          <w:rFonts w:ascii="黑体" w:eastAsia="黑体" w:hAnsi="黑体" w:cs="Times New Roman"/>
          <w:sz w:val="32"/>
          <w:szCs w:val="32"/>
        </w:rPr>
      </w:pPr>
      <w:r>
        <w:rPr>
          <w:rFonts w:ascii="黑体" w:eastAsia="黑体" w:hAnsi="黑体" w:cs="Times New Roman"/>
          <w:sz w:val="32"/>
          <w:szCs w:val="32"/>
        </w:rPr>
        <w:t>三、管理职责</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（一）资金管理。</w:t>
      </w:r>
      <w:r>
        <w:rPr>
          <w:rFonts w:ascii="Times New Roman" w:eastAsia="仿宋_GB2312" w:hAnsi="Times New Roman" w:cs="Times New Roman"/>
          <w:sz w:val="32"/>
          <w:szCs w:val="32"/>
        </w:rPr>
        <w:t>机制砂经营权出让严格执行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收支两条线</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，收入统一缴入财政专户管理。在出让期限内，市财政每年安排专项预算，弥补</w:t>
      </w:r>
      <w:r>
        <w:rPr>
          <w:rFonts w:ascii="Times New Roman" w:eastAsia="仿宋_GB2312" w:hAnsi="Times New Roman" w:cs="Times New Roman" w:hint="eastAsia"/>
          <w:sz w:val="32"/>
          <w:szCs w:val="32"/>
        </w:rPr>
        <w:t>机制砂场</w:t>
      </w:r>
      <w:r>
        <w:rPr>
          <w:rFonts w:ascii="Times New Roman" w:eastAsia="仿宋_GB2312" w:hAnsi="Times New Roman" w:cs="Times New Roman"/>
          <w:sz w:val="32"/>
          <w:szCs w:val="32"/>
        </w:rPr>
        <w:t>所在镇（街道、区）在机制砂生产经营的日常监管、环境保护以及打击非法制砂等工作中的经费不足问题</w:t>
      </w:r>
      <w:r>
        <w:rPr>
          <w:rFonts w:ascii="Times New Roman" w:eastAsia="仿宋_GB2312" w:hAnsi="Times New Roman" w:cs="Times New Roman" w:hint="eastAsia"/>
          <w:sz w:val="32"/>
          <w:szCs w:val="32"/>
        </w:rPr>
        <w:t>；预算</w:t>
      </w:r>
      <w:r>
        <w:rPr>
          <w:rFonts w:ascii="Times New Roman" w:eastAsia="仿宋_GB2312" w:hAnsi="Times New Roman" w:cs="Times New Roman"/>
          <w:sz w:val="32"/>
          <w:szCs w:val="32"/>
        </w:rPr>
        <w:t>总额不超过</w:t>
      </w:r>
      <w:r>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次经营权出让金收入的</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（二）</w:t>
      </w:r>
      <w:r>
        <w:rPr>
          <w:rFonts w:ascii="楷体_GB2312" w:eastAsia="楷体_GB2312" w:hAnsi="Times New Roman" w:cs="Times New Roman"/>
          <w:sz w:val="32"/>
          <w:szCs w:val="32"/>
        </w:rPr>
        <w:t>日常管理。</w:t>
      </w:r>
      <w:r>
        <w:rPr>
          <w:rFonts w:ascii="Times New Roman" w:eastAsia="仿宋_GB2312" w:hAnsi="Times New Roman" w:cs="Times New Roman"/>
          <w:sz w:val="32"/>
          <w:szCs w:val="32"/>
        </w:rPr>
        <w:t>机制砂生产经营权人是机制砂生产经营管理的第一责任人，负责落实砂场日常管理，切实做好生态环境保护、安全生产等工作；做好生产经营场所周边环境维护，严禁超限超载车辆进出。</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sz w:val="32"/>
          <w:szCs w:val="32"/>
        </w:rPr>
        <w:lastRenderedPageBreak/>
        <w:t>（三）属地管理。</w:t>
      </w:r>
      <w:r>
        <w:rPr>
          <w:rFonts w:ascii="Times New Roman" w:eastAsia="仿宋_GB2312" w:hAnsi="Times New Roman" w:cs="Times New Roman"/>
          <w:sz w:val="32"/>
          <w:szCs w:val="32"/>
        </w:rPr>
        <w:t>镇（街道、区）为机制砂生产经营管理的主要责任单位，具体负责：辖区内砂石整治工作；协同做好制砂场所的招标选址、土地租用及土地利用等政策处理；机制砂场生产经营的监管；监管机制砂场经营权到期后机器设备及建（构）筑物拆除、地上附着物清理、恢复土地原状等工作；发现并制止各项违法行为等。</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镇（街道、区）应按照机制砂规范化生产制度和要求，每月组织不少于一次制砂场所的实地检查（具体内容见附件二），并将检查结果报市砂石办。对排查发现的问题，做到即查即改。对未按要求采取环保措施或设施备而不用等造成环境问题的违法行为予以制止，并及时报告</w:t>
      </w:r>
      <w:r>
        <w:rPr>
          <w:rFonts w:ascii="Times New Roman" w:eastAsia="仿宋_GB2312" w:hAnsi="Times New Roman" w:cs="Times New Roman" w:hint="eastAsia"/>
          <w:sz w:val="32"/>
          <w:szCs w:val="32"/>
        </w:rPr>
        <w:t>生态环境</w:t>
      </w:r>
      <w:r>
        <w:rPr>
          <w:rFonts w:ascii="Times New Roman" w:eastAsia="仿宋_GB2312" w:hAnsi="Times New Roman" w:cs="Times New Roman"/>
          <w:sz w:val="32"/>
          <w:szCs w:val="32"/>
        </w:rPr>
        <w:t>部门。</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（四）部门管理。</w:t>
      </w:r>
      <w:r>
        <w:rPr>
          <w:rFonts w:ascii="Times New Roman" w:eastAsia="仿宋_GB2312" w:hAnsi="Times New Roman" w:cs="Times New Roman"/>
          <w:sz w:val="32"/>
          <w:szCs w:val="32"/>
        </w:rPr>
        <w:t>市砂石资源管理工作领导小组全面负责机制砂生产经营管理工作，通过不定期组织抽查制砂场所，强化督查考核，确保全市机制砂市场的有序运行。</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各部门按照职责分工，切实做好履行机制砂生产经营的管理和监督职责。其中，</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自然资源和规划局负责制定全市机制砂经营权出让方案，委托组织招投标，机制砂场临时用地审批，扬尘治理监督等工作；市生态环境分局负责环境评估审查，指导和监督机制砂场粉尘防治和污水处理设施运行，砂石场环境违法案件查处等工作；市市场监管局负责市场主体的依法工商登记和违反市场监管法律法规案件办理等工作；市应急管理局负责对机制砂</w:t>
      </w:r>
      <w:r>
        <w:rPr>
          <w:rFonts w:ascii="Times New Roman" w:eastAsia="仿宋_GB2312" w:hAnsi="Times New Roman" w:cs="Times New Roman"/>
          <w:sz w:val="32"/>
          <w:szCs w:val="32"/>
        </w:rPr>
        <w:lastRenderedPageBreak/>
        <w:t>场安全生产方面的监管和检查等工作。市水务局负责机制砂场水土保持方案和取水许可的审批和监管等工作。市交通运输局、市公安局负责涉砂运输违法违规案件查处等工作。市综合执法局负责做好砂石运输途中的滴洒冒漏等问题打击。</w:t>
      </w:r>
    </w:p>
    <w:p w:rsidR="001246E4" w:rsidRDefault="003650ED">
      <w:pPr>
        <w:spacing w:line="600" w:lineRule="exact"/>
        <w:ind w:firstLineChars="200" w:firstLine="640"/>
        <w:rPr>
          <w:rFonts w:ascii="黑体" w:eastAsia="黑体" w:hAnsi="黑体" w:cs="Times New Roman"/>
          <w:sz w:val="32"/>
          <w:szCs w:val="32"/>
        </w:rPr>
      </w:pPr>
      <w:r>
        <w:rPr>
          <w:rFonts w:ascii="黑体" w:eastAsia="黑体" w:hAnsi="黑体" w:cs="Times New Roman"/>
          <w:sz w:val="32"/>
          <w:szCs w:val="32"/>
        </w:rPr>
        <w:t>四、其他事项</w:t>
      </w: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本意见自</w:t>
      </w:r>
      <w:r>
        <w:rPr>
          <w:rFonts w:ascii="Times New Roman" w:eastAsia="仿宋_GB2312" w:hAnsi="Times New Roman" w:cs="Times New Roman" w:hint="eastAsia"/>
          <w:sz w:val="32"/>
          <w:szCs w:val="32"/>
        </w:rPr>
        <w:t>印发之日</w:t>
      </w:r>
      <w:r>
        <w:rPr>
          <w:rFonts w:ascii="Times New Roman" w:eastAsia="仿宋_GB2312" w:hAnsi="Times New Roman" w:cs="Times New Roman"/>
          <w:sz w:val="32"/>
          <w:szCs w:val="32"/>
        </w:rPr>
        <w:t>起实施，《</w:t>
      </w:r>
      <w:r>
        <w:rPr>
          <w:rFonts w:ascii="Times New Roman" w:eastAsia="仿宋_GB2312" w:hAnsi="Times New Roman" w:cs="Times New Roman" w:hint="eastAsia"/>
          <w:sz w:val="32"/>
          <w:szCs w:val="32"/>
        </w:rPr>
        <w:t>永康市人民政府</w:t>
      </w:r>
      <w:r>
        <w:rPr>
          <w:rFonts w:ascii="Times New Roman" w:eastAsia="仿宋_GB2312" w:hAnsi="Times New Roman" w:cs="Times New Roman"/>
          <w:sz w:val="32"/>
          <w:szCs w:val="32"/>
        </w:rPr>
        <w:t>关于印发永康市砂石资源整顿实施方案的通知》（永政发〔</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57</w:t>
      </w:r>
      <w:r>
        <w:rPr>
          <w:rFonts w:ascii="Times New Roman" w:eastAsia="仿宋_GB2312" w:hAnsi="Times New Roman" w:cs="Times New Roman"/>
          <w:sz w:val="32"/>
          <w:szCs w:val="32"/>
        </w:rPr>
        <w:t>号）和《</w:t>
      </w:r>
      <w:r>
        <w:rPr>
          <w:rFonts w:ascii="Times New Roman" w:eastAsia="仿宋_GB2312" w:hAnsi="Times New Roman" w:cs="Times New Roman" w:hint="eastAsia"/>
          <w:sz w:val="32"/>
          <w:szCs w:val="32"/>
        </w:rPr>
        <w:t>永康市人民政府</w:t>
      </w:r>
      <w:r>
        <w:rPr>
          <w:rFonts w:ascii="Times New Roman" w:eastAsia="仿宋_GB2312" w:hAnsi="Times New Roman" w:cs="Times New Roman"/>
          <w:sz w:val="32"/>
          <w:szCs w:val="32"/>
        </w:rPr>
        <w:t>关于规范全市机制砂生产经营管理的若干意见》（永政发〔</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91</w:t>
      </w:r>
      <w:r>
        <w:rPr>
          <w:rFonts w:ascii="Times New Roman" w:eastAsia="仿宋_GB2312" w:hAnsi="Times New Roman" w:cs="Times New Roman"/>
          <w:sz w:val="32"/>
          <w:szCs w:val="32"/>
        </w:rPr>
        <w:t>号）停止执行。</w:t>
      </w:r>
    </w:p>
    <w:p w:rsidR="001246E4" w:rsidRDefault="001246E4">
      <w:pPr>
        <w:spacing w:line="600" w:lineRule="exact"/>
        <w:ind w:firstLineChars="200" w:firstLine="640"/>
        <w:rPr>
          <w:rFonts w:ascii="Times New Roman" w:eastAsia="仿宋_GB2312" w:hAnsi="Times New Roman" w:cs="Times New Roman"/>
          <w:sz w:val="32"/>
          <w:szCs w:val="32"/>
        </w:rPr>
      </w:pPr>
    </w:p>
    <w:p w:rsidR="001246E4" w:rsidRDefault="003650E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机制砂场规范化建设评分表</w:t>
      </w:r>
    </w:p>
    <w:p w:rsidR="00CF1446" w:rsidRDefault="003650ED">
      <w:pPr>
        <w:numPr>
          <w:ilvl w:val="0"/>
          <w:numId w:val="1"/>
        </w:numPr>
        <w:spacing w:line="60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机制砂综合管理月度评分表</w:t>
      </w:r>
    </w:p>
    <w:p w:rsidR="00CF1446" w:rsidRDefault="00CF1446">
      <w:pPr>
        <w:spacing w:line="600" w:lineRule="exact"/>
        <w:rPr>
          <w:rFonts w:ascii="Times New Roman" w:eastAsia="仿宋_GB2312" w:hAnsi="Times New Roman" w:cs="Times New Roman"/>
          <w:sz w:val="32"/>
          <w:szCs w:val="32"/>
        </w:rPr>
      </w:pPr>
    </w:p>
    <w:p w:rsidR="00CF1446" w:rsidRDefault="00CF1446">
      <w:pPr>
        <w:spacing w:line="600" w:lineRule="exact"/>
        <w:rPr>
          <w:rFonts w:ascii="Times New Roman" w:eastAsia="仿宋_GB2312" w:hAnsi="Times New Roman" w:cs="Times New Roman"/>
          <w:sz w:val="32"/>
          <w:szCs w:val="32"/>
        </w:rPr>
      </w:pPr>
    </w:p>
    <w:p w:rsidR="001246E4" w:rsidRDefault="003650ED">
      <w:pPr>
        <w:spacing w:line="60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永康市人民政府办公室</w:t>
      </w:r>
    </w:p>
    <w:p w:rsidR="001246E4" w:rsidRDefault="003650ED" w:rsidP="003650ED">
      <w:pPr>
        <w:spacing w:line="600" w:lineRule="exact"/>
        <w:ind w:firstLineChars="1550" w:firstLine="49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w:t>
      </w:r>
    </w:p>
    <w:p w:rsidR="001246E4" w:rsidRDefault="001246E4">
      <w:pPr>
        <w:spacing w:line="560" w:lineRule="exact"/>
        <w:ind w:firstLineChars="200" w:firstLine="640"/>
        <w:rPr>
          <w:rFonts w:ascii="Times New Roman" w:eastAsia="仿宋_GB2312" w:hAnsi="Times New Roman" w:cs="Times New Roman"/>
          <w:sz w:val="32"/>
          <w:szCs w:val="32"/>
        </w:rPr>
      </w:pPr>
    </w:p>
    <w:p w:rsidR="001246E4" w:rsidRDefault="001246E4">
      <w:pPr>
        <w:jc w:val="left"/>
        <w:rPr>
          <w:rFonts w:ascii="Times New Roman" w:eastAsia="仿宋_GB2312" w:hAnsi="Times New Roman" w:cs="Times New Roman"/>
          <w:sz w:val="32"/>
          <w:szCs w:val="32"/>
        </w:rPr>
      </w:pPr>
    </w:p>
    <w:p w:rsidR="001246E4" w:rsidRDefault="001246E4">
      <w:pPr>
        <w:jc w:val="left"/>
        <w:rPr>
          <w:rFonts w:ascii="Times New Roman" w:eastAsia="仿宋_GB2312" w:hAnsi="Times New Roman" w:cs="Times New Roman"/>
          <w:sz w:val="32"/>
          <w:szCs w:val="32"/>
        </w:rPr>
      </w:pPr>
    </w:p>
    <w:p w:rsidR="001246E4" w:rsidRDefault="001246E4">
      <w:pPr>
        <w:jc w:val="left"/>
        <w:rPr>
          <w:rFonts w:ascii="Times New Roman" w:eastAsia="仿宋_GB2312" w:hAnsi="Times New Roman" w:cs="Times New Roman"/>
          <w:sz w:val="32"/>
          <w:szCs w:val="32"/>
        </w:rPr>
        <w:sectPr w:rsidR="001246E4">
          <w:footerReference w:type="even" r:id="rId9"/>
          <w:footerReference w:type="default" r:id="rId10"/>
          <w:pgSz w:w="11906" w:h="16838"/>
          <w:pgMar w:top="2098" w:right="1474" w:bottom="1985" w:left="1588" w:header="851" w:footer="992" w:gutter="0"/>
          <w:cols w:space="425"/>
          <w:docGrid w:type="lines" w:linePitch="312"/>
        </w:sectPr>
      </w:pPr>
    </w:p>
    <w:p w:rsidR="001246E4" w:rsidRDefault="003650ED">
      <w:pPr>
        <w:jc w:val="left"/>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lastRenderedPageBreak/>
        <w:t>附件1</w:t>
      </w:r>
    </w:p>
    <w:p w:rsidR="001246E4" w:rsidRDefault="003650ED">
      <w:pPr>
        <w:spacing w:line="640" w:lineRule="exact"/>
        <w:jc w:val="center"/>
        <w:rPr>
          <w:rFonts w:ascii="方正小标宋简体" w:eastAsia="方正小标宋简体" w:hAnsi="仿宋_GB2312" w:cs="仿宋_GB2312"/>
          <w:bCs/>
          <w:color w:val="000000" w:themeColor="text1"/>
          <w:sz w:val="44"/>
          <w:szCs w:val="44"/>
        </w:rPr>
      </w:pPr>
      <w:r>
        <w:rPr>
          <w:rFonts w:ascii="方正小标宋简体" w:eastAsia="方正小标宋简体" w:hAnsi="仿宋_GB2312" w:cs="仿宋_GB2312" w:hint="eastAsia"/>
          <w:bCs/>
          <w:color w:val="000000" w:themeColor="text1"/>
          <w:sz w:val="44"/>
          <w:szCs w:val="44"/>
        </w:rPr>
        <w:t>机制砂场规范化建设评分表</w:t>
      </w:r>
    </w:p>
    <w:p w:rsidR="001246E4" w:rsidRDefault="001246E4">
      <w:pPr>
        <w:spacing w:line="640" w:lineRule="exact"/>
        <w:jc w:val="center"/>
        <w:rPr>
          <w:rFonts w:ascii="方正小标宋简体" w:eastAsia="方正小标宋简体" w:hAnsi="仿宋_GB2312" w:cs="仿宋_GB2312"/>
          <w:bCs/>
          <w:color w:val="000000" w:themeColor="text1"/>
          <w:sz w:val="44"/>
          <w:szCs w:val="44"/>
        </w:rPr>
      </w:pPr>
    </w:p>
    <w:tbl>
      <w:tblPr>
        <w:tblStyle w:val="a6"/>
        <w:tblW w:w="5030" w:type="pct"/>
        <w:tblLook w:val="04A0"/>
      </w:tblPr>
      <w:tblGrid>
        <w:gridCol w:w="818"/>
        <w:gridCol w:w="4534"/>
        <w:gridCol w:w="992"/>
        <w:gridCol w:w="6239"/>
        <w:gridCol w:w="1531"/>
        <w:gridCol w:w="869"/>
      </w:tblGrid>
      <w:tr w:rsidR="001246E4">
        <w:trPr>
          <w:trHeight w:val="640"/>
          <w:tblHeader/>
        </w:trPr>
        <w:tc>
          <w:tcPr>
            <w:tcW w:w="27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b/>
                <w:szCs w:val="21"/>
              </w:rPr>
            </w:pPr>
            <w:r>
              <w:rPr>
                <w:rFonts w:asciiTheme="minorEastAsia" w:hAnsiTheme="minorEastAsia" w:cs="仿宋_GB2312" w:hint="eastAsia"/>
                <w:b/>
                <w:szCs w:val="21"/>
              </w:rPr>
              <w:t>目录</w:t>
            </w:r>
          </w:p>
        </w:tc>
        <w:tc>
          <w:tcPr>
            <w:tcW w:w="151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宋体"/>
                <w:b/>
                <w:szCs w:val="21"/>
              </w:rPr>
            </w:pPr>
            <w:r>
              <w:rPr>
                <w:rFonts w:asciiTheme="minorEastAsia" w:hAnsiTheme="minorEastAsia" w:cs="仿宋_GB2312" w:hint="eastAsia"/>
                <w:b/>
                <w:szCs w:val="21"/>
              </w:rPr>
              <w:t>评分内容</w:t>
            </w:r>
          </w:p>
        </w:tc>
        <w:tc>
          <w:tcPr>
            <w:tcW w:w="33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b/>
                <w:szCs w:val="21"/>
              </w:rPr>
            </w:pPr>
            <w:r>
              <w:rPr>
                <w:rFonts w:asciiTheme="minorEastAsia" w:hAnsiTheme="minorEastAsia" w:cs="仿宋_GB2312" w:hint="eastAsia"/>
                <w:b/>
                <w:szCs w:val="21"/>
              </w:rPr>
              <w:t>分值</w:t>
            </w:r>
          </w:p>
        </w:tc>
        <w:tc>
          <w:tcPr>
            <w:tcW w:w="2082"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b/>
                <w:szCs w:val="21"/>
              </w:rPr>
            </w:pPr>
            <w:r>
              <w:rPr>
                <w:rFonts w:asciiTheme="minorEastAsia" w:hAnsiTheme="minorEastAsia" w:cs="仿宋_GB2312" w:hint="eastAsia"/>
                <w:b/>
                <w:szCs w:val="21"/>
              </w:rPr>
              <w:t>评分标准</w:t>
            </w:r>
          </w:p>
        </w:tc>
        <w:tc>
          <w:tcPr>
            <w:tcW w:w="51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b/>
                <w:szCs w:val="21"/>
              </w:rPr>
            </w:pPr>
            <w:r>
              <w:rPr>
                <w:rFonts w:asciiTheme="minorEastAsia" w:hAnsiTheme="minorEastAsia" w:cs="仿宋_GB2312" w:hint="eastAsia"/>
                <w:b/>
                <w:szCs w:val="21"/>
              </w:rPr>
              <w:t>评分部门</w:t>
            </w:r>
          </w:p>
        </w:tc>
        <w:tc>
          <w:tcPr>
            <w:tcW w:w="290"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b/>
                <w:szCs w:val="21"/>
              </w:rPr>
            </w:pPr>
            <w:r>
              <w:rPr>
                <w:rFonts w:asciiTheme="minorEastAsia" w:hAnsiTheme="minorEastAsia" w:cs="仿宋_GB2312" w:hint="eastAsia"/>
                <w:b/>
                <w:szCs w:val="21"/>
              </w:rPr>
              <w:t>得分</w:t>
            </w:r>
          </w:p>
        </w:tc>
      </w:tr>
      <w:tr w:rsidR="001246E4">
        <w:trPr>
          <w:trHeight w:val="445"/>
        </w:trPr>
        <w:tc>
          <w:tcPr>
            <w:tcW w:w="27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1</w:t>
            </w:r>
          </w:p>
        </w:tc>
        <w:tc>
          <w:tcPr>
            <w:tcW w:w="151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根据环境影响评价和审批要求，认真落实各项环境保护措施，建立环境保护设施运行的相关制度和工作台账。</w:t>
            </w:r>
          </w:p>
        </w:tc>
        <w:tc>
          <w:tcPr>
            <w:tcW w:w="33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10</w:t>
            </w:r>
          </w:p>
        </w:tc>
        <w:tc>
          <w:tcPr>
            <w:tcW w:w="2082"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未建立环保设施运行工作台账的，扣10分；</w:t>
            </w:r>
          </w:p>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环保设施运行台账建立不齐全的，每项扣1分。</w:t>
            </w:r>
          </w:p>
        </w:tc>
        <w:tc>
          <w:tcPr>
            <w:tcW w:w="51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生态环境分局</w:t>
            </w:r>
          </w:p>
        </w:tc>
        <w:tc>
          <w:tcPr>
            <w:tcW w:w="290" w:type="pct"/>
            <w:tcBorders>
              <w:top w:val="single" w:sz="4" w:space="0" w:color="auto"/>
              <w:left w:val="single" w:sz="4" w:space="0" w:color="auto"/>
              <w:bottom w:val="single" w:sz="4" w:space="0" w:color="auto"/>
              <w:right w:val="single" w:sz="4" w:space="0" w:color="auto"/>
            </w:tcBorders>
            <w:vAlign w:val="center"/>
          </w:tcPr>
          <w:p w:rsidR="001246E4" w:rsidRDefault="001246E4">
            <w:pPr>
              <w:spacing w:line="340" w:lineRule="exact"/>
              <w:rPr>
                <w:rFonts w:asciiTheme="minorEastAsia" w:hAnsiTheme="minorEastAsia" w:cs="仿宋_GB2312"/>
                <w:szCs w:val="21"/>
              </w:rPr>
            </w:pPr>
          </w:p>
        </w:tc>
      </w:tr>
      <w:tr w:rsidR="001246E4">
        <w:trPr>
          <w:trHeight w:val="83"/>
        </w:trPr>
        <w:tc>
          <w:tcPr>
            <w:tcW w:w="27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2</w:t>
            </w:r>
          </w:p>
        </w:tc>
        <w:tc>
          <w:tcPr>
            <w:tcW w:w="151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场区内合理布置加工、办公、堆料等功能分区，场区四至界线清楚，有围墙或围槛隔离。推进“工厂化”封闭式生产，规范化经营。</w:t>
            </w:r>
          </w:p>
        </w:tc>
        <w:tc>
          <w:tcPr>
            <w:tcW w:w="33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15</w:t>
            </w:r>
          </w:p>
        </w:tc>
        <w:tc>
          <w:tcPr>
            <w:tcW w:w="2082"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场区未设置围墙或围槛隔离的，10分；</w:t>
            </w:r>
          </w:p>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场区内未实行功能分区的，扣3分；</w:t>
            </w:r>
          </w:p>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场区环境脏、乱的，扣2分。</w:t>
            </w:r>
          </w:p>
        </w:tc>
        <w:tc>
          <w:tcPr>
            <w:tcW w:w="51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自然资源和</w:t>
            </w:r>
          </w:p>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规划局</w:t>
            </w:r>
          </w:p>
        </w:tc>
        <w:tc>
          <w:tcPr>
            <w:tcW w:w="290" w:type="pct"/>
            <w:tcBorders>
              <w:top w:val="single" w:sz="4" w:space="0" w:color="auto"/>
              <w:left w:val="single" w:sz="4" w:space="0" w:color="auto"/>
              <w:bottom w:val="single" w:sz="4" w:space="0" w:color="auto"/>
              <w:right w:val="single" w:sz="4" w:space="0" w:color="auto"/>
            </w:tcBorders>
            <w:vAlign w:val="center"/>
          </w:tcPr>
          <w:p w:rsidR="001246E4" w:rsidRDefault="001246E4">
            <w:pPr>
              <w:spacing w:line="340" w:lineRule="exact"/>
              <w:rPr>
                <w:rFonts w:asciiTheme="minorEastAsia" w:hAnsiTheme="minorEastAsia" w:cs="仿宋_GB2312"/>
                <w:szCs w:val="21"/>
              </w:rPr>
            </w:pPr>
          </w:p>
        </w:tc>
      </w:tr>
      <w:tr w:rsidR="001246E4">
        <w:trPr>
          <w:trHeight w:val="74"/>
        </w:trPr>
        <w:tc>
          <w:tcPr>
            <w:tcW w:w="27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3</w:t>
            </w:r>
          </w:p>
        </w:tc>
        <w:tc>
          <w:tcPr>
            <w:tcW w:w="151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场区进出口处道路和场内主干道硬化，建冲洗水槽和配冲洗设备，对场区内道路，须配备雾化喷淋装置或洒水车定期洒水。</w:t>
            </w:r>
          </w:p>
        </w:tc>
        <w:tc>
          <w:tcPr>
            <w:tcW w:w="33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15</w:t>
            </w:r>
          </w:p>
        </w:tc>
        <w:tc>
          <w:tcPr>
            <w:tcW w:w="2082"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ind w:left="105" w:hangingChars="50" w:hanging="105"/>
              <w:rPr>
                <w:rFonts w:asciiTheme="minorEastAsia" w:hAnsiTheme="minorEastAsia" w:cs="仿宋_GB2312"/>
                <w:szCs w:val="21"/>
              </w:rPr>
            </w:pPr>
            <w:r>
              <w:rPr>
                <w:rFonts w:asciiTheme="minorEastAsia" w:hAnsiTheme="minorEastAsia" w:cs="仿宋_GB2312" w:hint="eastAsia"/>
                <w:szCs w:val="21"/>
              </w:rPr>
              <w:t>进出口处道路和场内主干道未硬化扣10分；场区未建立冲洗水槽、配备冲洗设备、洒水车的，扣5分。</w:t>
            </w:r>
          </w:p>
        </w:tc>
        <w:tc>
          <w:tcPr>
            <w:tcW w:w="51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生态环境分局</w:t>
            </w:r>
          </w:p>
        </w:tc>
        <w:tc>
          <w:tcPr>
            <w:tcW w:w="290" w:type="pct"/>
            <w:tcBorders>
              <w:top w:val="single" w:sz="4" w:space="0" w:color="auto"/>
              <w:left w:val="single" w:sz="4" w:space="0" w:color="auto"/>
              <w:bottom w:val="single" w:sz="4" w:space="0" w:color="auto"/>
              <w:right w:val="single" w:sz="4" w:space="0" w:color="auto"/>
            </w:tcBorders>
            <w:vAlign w:val="center"/>
          </w:tcPr>
          <w:p w:rsidR="001246E4" w:rsidRDefault="001246E4">
            <w:pPr>
              <w:spacing w:line="340" w:lineRule="exact"/>
              <w:rPr>
                <w:rFonts w:asciiTheme="minorEastAsia" w:hAnsiTheme="minorEastAsia" w:cs="仿宋_GB2312"/>
                <w:szCs w:val="21"/>
              </w:rPr>
            </w:pPr>
          </w:p>
        </w:tc>
      </w:tr>
      <w:tr w:rsidR="001246E4">
        <w:trPr>
          <w:trHeight w:val="528"/>
        </w:trPr>
        <w:tc>
          <w:tcPr>
            <w:tcW w:w="27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4</w:t>
            </w:r>
          </w:p>
        </w:tc>
        <w:tc>
          <w:tcPr>
            <w:tcW w:w="151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生产中的装卸、每级破碎、筛分石料处设有喷雾增湿抑尘设备，进料口采用三面一顶封闭，主要加工设备采用封闭运行或湿法加工。</w:t>
            </w:r>
          </w:p>
        </w:tc>
        <w:tc>
          <w:tcPr>
            <w:tcW w:w="33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10</w:t>
            </w:r>
          </w:p>
        </w:tc>
        <w:tc>
          <w:tcPr>
            <w:tcW w:w="2082"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装卸、每级破碎、筛分石料处未设有喷雾增湿抑尘设备的扣5分；进料口未采用三面一顶封闭或未实施湿法加工的，扣5分。</w:t>
            </w:r>
          </w:p>
        </w:tc>
        <w:tc>
          <w:tcPr>
            <w:tcW w:w="51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生态环境分局</w:t>
            </w:r>
          </w:p>
        </w:tc>
        <w:tc>
          <w:tcPr>
            <w:tcW w:w="290" w:type="pct"/>
            <w:tcBorders>
              <w:top w:val="single" w:sz="4" w:space="0" w:color="auto"/>
              <w:left w:val="single" w:sz="4" w:space="0" w:color="auto"/>
              <w:bottom w:val="single" w:sz="4" w:space="0" w:color="auto"/>
              <w:right w:val="single" w:sz="4" w:space="0" w:color="auto"/>
            </w:tcBorders>
            <w:vAlign w:val="center"/>
          </w:tcPr>
          <w:p w:rsidR="001246E4" w:rsidRDefault="001246E4">
            <w:pPr>
              <w:spacing w:line="340" w:lineRule="exact"/>
              <w:rPr>
                <w:rFonts w:asciiTheme="minorEastAsia" w:hAnsiTheme="minorEastAsia" w:cs="仿宋_GB2312"/>
                <w:szCs w:val="21"/>
              </w:rPr>
            </w:pPr>
          </w:p>
        </w:tc>
      </w:tr>
      <w:tr w:rsidR="001246E4">
        <w:trPr>
          <w:trHeight w:val="233"/>
        </w:trPr>
        <w:tc>
          <w:tcPr>
            <w:tcW w:w="27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5</w:t>
            </w:r>
          </w:p>
        </w:tc>
        <w:tc>
          <w:tcPr>
            <w:tcW w:w="151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 xml:space="preserve">配置粉尘检测设备，根据要求，开展粉尘日常检测。 </w:t>
            </w:r>
          </w:p>
        </w:tc>
        <w:tc>
          <w:tcPr>
            <w:tcW w:w="33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5</w:t>
            </w:r>
          </w:p>
        </w:tc>
        <w:tc>
          <w:tcPr>
            <w:tcW w:w="2082"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未配置粉尘检测设备的，扣5分。</w:t>
            </w:r>
          </w:p>
        </w:tc>
        <w:tc>
          <w:tcPr>
            <w:tcW w:w="51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生态环境分局</w:t>
            </w:r>
          </w:p>
        </w:tc>
        <w:tc>
          <w:tcPr>
            <w:tcW w:w="290" w:type="pct"/>
            <w:tcBorders>
              <w:top w:val="single" w:sz="4" w:space="0" w:color="auto"/>
              <w:left w:val="single" w:sz="4" w:space="0" w:color="auto"/>
              <w:bottom w:val="single" w:sz="4" w:space="0" w:color="auto"/>
              <w:right w:val="single" w:sz="4" w:space="0" w:color="auto"/>
            </w:tcBorders>
            <w:vAlign w:val="center"/>
          </w:tcPr>
          <w:p w:rsidR="001246E4" w:rsidRDefault="001246E4">
            <w:pPr>
              <w:spacing w:line="340" w:lineRule="exact"/>
              <w:rPr>
                <w:rFonts w:asciiTheme="minorEastAsia" w:hAnsiTheme="minorEastAsia" w:cs="仿宋_GB2312"/>
                <w:szCs w:val="21"/>
              </w:rPr>
            </w:pPr>
          </w:p>
        </w:tc>
      </w:tr>
      <w:tr w:rsidR="001246E4">
        <w:trPr>
          <w:trHeight w:val="144"/>
        </w:trPr>
        <w:tc>
          <w:tcPr>
            <w:tcW w:w="27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6</w:t>
            </w:r>
          </w:p>
        </w:tc>
        <w:tc>
          <w:tcPr>
            <w:tcW w:w="151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取得水土保持和取水许可，并根据水土保持方案要求落实水土保持措施。</w:t>
            </w:r>
          </w:p>
        </w:tc>
        <w:tc>
          <w:tcPr>
            <w:tcW w:w="33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10</w:t>
            </w:r>
          </w:p>
        </w:tc>
        <w:tc>
          <w:tcPr>
            <w:tcW w:w="2082"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未取得水土保持或不按规定取水的，每项扣5分；未落实水土保持措施的，每项扣2分，扣完为止。</w:t>
            </w:r>
          </w:p>
        </w:tc>
        <w:tc>
          <w:tcPr>
            <w:tcW w:w="51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水务局</w:t>
            </w:r>
          </w:p>
        </w:tc>
        <w:tc>
          <w:tcPr>
            <w:tcW w:w="290" w:type="pct"/>
            <w:tcBorders>
              <w:top w:val="single" w:sz="4" w:space="0" w:color="auto"/>
              <w:left w:val="single" w:sz="4" w:space="0" w:color="auto"/>
              <w:bottom w:val="single" w:sz="4" w:space="0" w:color="auto"/>
              <w:right w:val="single" w:sz="4" w:space="0" w:color="auto"/>
            </w:tcBorders>
            <w:vAlign w:val="center"/>
          </w:tcPr>
          <w:p w:rsidR="001246E4" w:rsidRDefault="001246E4">
            <w:pPr>
              <w:spacing w:line="340" w:lineRule="exact"/>
              <w:rPr>
                <w:rFonts w:asciiTheme="minorEastAsia" w:hAnsiTheme="minorEastAsia" w:cs="仿宋_GB2312"/>
                <w:szCs w:val="21"/>
              </w:rPr>
            </w:pPr>
          </w:p>
        </w:tc>
      </w:tr>
      <w:tr w:rsidR="001246E4">
        <w:trPr>
          <w:trHeight w:val="400"/>
        </w:trPr>
        <w:tc>
          <w:tcPr>
            <w:tcW w:w="27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7</w:t>
            </w:r>
          </w:p>
        </w:tc>
        <w:tc>
          <w:tcPr>
            <w:tcW w:w="151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建有配套的废水处理设施，废水、污水处理后达标排放。</w:t>
            </w:r>
          </w:p>
        </w:tc>
        <w:tc>
          <w:tcPr>
            <w:tcW w:w="33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10</w:t>
            </w:r>
          </w:p>
        </w:tc>
        <w:tc>
          <w:tcPr>
            <w:tcW w:w="2082"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未建立废水处理设施的，扣5分；废水、污水未经处理向外排放的，扣5分。</w:t>
            </w:r>
          </w:p>
        </w:tc>
        <w:tc>
          <w:tcPr>
            <w:tcW w:w="51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生态环境分局</w:t>
            </w:r>
          </w:p>
        </w:tc>
        <w:tc>
          <w:tcPr>
            <w:tcW w:w="290" w:type="pct"/>
            <w:tcBorders>
              <w:top w:val="single" w:sz="4" w:space="0" w:color="auto"/>
              <w:left w:val="single" w:sz="4" w:space="0" w:color="auto"/>
              <w:bottom w:val="single" w:sz="4" w:space="0" w:color="auto"/>
              <w:right w:val="single" w:sz="4" w:space="0" w:color="auto"/>
            </w:tcBorders>
            <w:vAlign w:val="center"/>
          </w:tcPr>
          <w:p w:rsidR="001246E4" w:rsidRDefault="001246E4">
            <w:pPr>
              <w:spacing w:line="340" w:lineRule="exact"/>
              <w:rPr>
                <w:rFonts w:asciiTheme="minorEastAsia" w:hAnsiTheme="minorEastAsia" w:cs="仿宋_GB2312"/>
                <w:szCs w:val="21"/>
              </w:rPr>
            </w:pPr>
          </w:p>
        </w:tc>
      </w:tr>
      <w:tr w:rsidR="001246E4">
        <w:trPr>
          <w:trHeight w:val="51"/>
        </w:trPr>
        <w:tc>
          <w:tcPr>
            <w:tcW w:w="27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lastRenderedPageBreak/>
              <w:t>8</w:t>
            </w:r>
          </w:p>
        </w:tc>
        <w:tc>
          <w:tcPr>
            <w:tcW w:w="151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按照安全生产标准化要求加强安全生产管理，健全企业安全生产台账资料。</w:t>
            </w:r>
          </w:p>
        </w:tc>
        <w:tc>
          <w:tcPr>
            <w:tcW w:w="33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8</w:t>
            </w:r>
          </w:p>
        </w:tc>
        <w:tc>
          <w:tcPr>
            <w:tcW w:w="2082"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主要负责人、安全管理人员未持证上岗的，扣1分；未建立安全生产规章制度的，扣1分；未制定安全操作规程的，扣1分；员工未开展安全培训的，每人扣0.5分；未开展安全风险辨识的，扣2分；未开展应急救援演练的，扣1分。</w:t>
            </w:r>
          </w:p>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发生生产安全死亡事故的，扣8分，重伤、轻伤事故酌情扣分；未建立安全生产台账的，扣5分；安全生产台账建立不规范，每项扣1分。</w:t>
            </w:r>
          </w:p>
        </w:tc>
        <w:tc>
          <w:tcPr>
            <w:tcW w:w="51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应急管理局</w:t>
            </w:r>
          </w:p>
        </w:tc>
        <w:tc>
          <w:tcPr>
            <w:tcW w:w="290" w:type="pct"/>
            <w:tcBorders>
              <w:top w:val="single" w:sz="4" w:space="0" w:color="auto"/>
              <w:left w:val="single" w:sz="4" w:space="0" w:color="auto"/>
              <w:bottom w:val="single" w:sz="4" w:space="0" w:color="auto"/>
              <w:right w:val="single" w:sz="4" w:space="0" w:color="auto"/>
            </w:tcBorders>
            <w:vAlign w:val="center"/>
          </w:tcPr>
          <w:p w:rsidR="001246E4" w:rsidRDefault="001246E4">
            <w:pPr>
              <w:spacing w:line="340" w:lineRule="exact"/>
              <w:rPr>
                <w:rFonts w:asciiTheme="minorEastAsia" w:hAnsiTheme="minorEastAsia" w:cs="仿宋_GB2312"/>
                <w:szCs w:val="21"/>
              </w:rPr>
            </w:pPr>
          </w:p>
        </w:tc>
      </w:tr>
      <w:tr w:rsidR="001246E4">
        <w:trPr>
          <w:trHeight w:val="422"/>
        </w:trPr>
        <w:tc>
          <w:tcPr>
            <w:tcW w:w="27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9</w:t>
            </w:r>
          </w:p>
        </w:tc>
        <w:tc>
          <w:tcPr>
            <w:tcW w:w="151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生产区、堆料区和进出口等重要区域安装监控系统，实施24小时监控，监控数据规范保存15天以上。</w:t>
            </w:r>
          </w:p>
        </w:tc>
        <w:tc>
          <w:tcPr>
            <w:tcW w:w="33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5</w:t>
            </w:r>
          </w:p>
        </w:tc>
        <w:tc>
          <w:tcPr>
            <w:tcW w:w="2082"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未安装监控系统的，扣5分。</w:t>
            </w:r>
          </w:p>
        </w:tc>
        <w:tc>
          <w:tcPr>
            <w:tcW w:w="51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综合执法局</w:t>
            </w:r>
          </w:p>
        </w:tc>
        <w:tc>
          <w:tcPr>
            <w:tcW w:w="290" w:type="pct"/>
            <w:tcBorders>
              <w:top w:val="single" w:sz="4" w:space="0" w:color="auto"/>
              <w:left w:val="single" w:sz="4" w:space="0" w:color="auto"/>
              <w:bottom w:val="single" w:sz="4" w:space="0" w:color="auto"/>
              <w:right w:val="single" w:sz="4" w:space="0" w:color="auto"/>
            </w:tcBorders>
            <w:vAlign w:val="center"/>
          </w:tcPr>
          <w:p w:rsidR="001246E4" w:rsidRDefault="001246E4">
            <w:pPr>
              <w:spacing w:line="340" w:lineRule="exact"/>
              <w:rPr>
                <w:rFonts w:asciiTheme="minorEastAsia" w:hAnsiTheme="minorEastAsia" w:cs="仿宋_GB2312"/>
                <w:szCs w:val="21"/>
              </w:rPr>
            </w:pPr>
          </w:p>
        </w:tc>
      </w:tr>
      <w:tr w:rsidR="001246E4">
        <w:trPr>
          <w:trHeight w:val="146"/>
        </w:trPr>
        <w:tc>
          <w:tcPr>
            <w:tcW w:w="27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10</w:t>
            </w:r>
          </w:p>
        </w:tc>
        <w:tc>
          <w:tcPr>
            <w:tcW w:w="151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建立制砂场进货台账、生产台账、销售台账。</w:t>
            </w:r>
          </w:p>
        </w:tc>
        <w:tc>
          <w:tcPr>
            <w:tcW w:w="33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5</w:t>
            </w:r>
          </w:p>
        </w:tc>
        <w:tc>
          <w:tcPr>
            <w:tcW w:w="2082"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未建立台账的，扣5分。</w:t>
            </w:r>
          </w:p>
        </w:tc>
        <w:tc>
          <w:tcPr>
            <w:tcW w:w="51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自然资源和</w:t>
            </w:r>
          </w:p>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规划局</w:t>
            </w:r>
          </w:p>
        </w:tc>
        <w:tc>
          <w:tcPr>
            <w:tcW w:w="290" w:type="pct"/>
            <w:tcBorders>
              <w:top w:val="single" w:sz="4" w:space="0" w:color="auto"/>
              <w:left w:val="single" w:sz="4" w:space="0" w:color="auto"/>
              <w:bottom w:val="single" w:sz="4" w:space="0" w:color="auto"/>
              <w:right w:val="single" w:sz="4" w:space="0" w:color="auto"/>
            </w:tcBorders>
            <w:vAlign w:val="center"/>
          </w:tcPr>
          <w:p w:rsidR="001246E4" w:rsidRDefault="001246E4">
            <w:pPr>
              <w:spacing w:line="340" w:lineRule="exact"/>
              <w:rPr>
                <w:rFonts w:asciiTheme="minorEastAsia" w:hAnsiTheme="minorEastAsia" w:cs="仿宋_GB2312"/>
                <w:szCs w:val="21"/>
              </w:rPr>
            </w:pPr>
          </w:p>
        </w:tc>
      </w:tr>
      <w:tr w:rsidR="001246E4">
        <w:trPr>
          <w:trHeight w:val="274"/>
        </w:trPr>
        <w:tc>
          <w:tcPr>
            <w:tcW w:w="27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11</w:t>
            </w:r>
          </w:p>
        </w:tc>
        <w:tc>
          <w:tcPr>
            <w:tcW w:w="151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完成临时用地审批，做好场区用地的政策处理工作，与制砂场所在地镇（街道）、村（社区）等建立协商机制，共同应对损害公共利益的重大事件，及时妥善解决各类矛盾。</w:t>
            </w:r>
          </w:p>
        </w:tc>
        <w:tc>
          <w:tcPr>
            <w:tcW w:w="33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7</w:t>
            </w:r>
          </w:p>
        </w:tc>
        <w:tc>
          <w:tcPr>
            <w:tcW w:w="2082"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rPr>
                <w:rFonts w:asciiTheme="minorEastAsia" w:hAnsiTheme="minorEastAsia" w:cs="仿宋_GB2312"/>
                <w:szCs w:val="21"/>
              </w:rPr>
            </w:pPr>
            <w:r>
              <w:rPr>
                <w:rFonts w:asciiTheme="minorEastAsia" w:hAnsiTheme="minorEastAsia" w:cs="仿宋_GB2312" w:hint="eastAsia"/>
                <w:szCs w:val="21"/>
              </w:rPr>
              <w:t>未办理临时用地审批的，扣10分；每出现一起矛盾纠纷，扣2分。</w:t>
            </w:r>
          </w:p>
        </w:tc>
        <w:tc>
          <w:tcPr>
            <w:tcW w:w="51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自然资源和</w:t>
            </w:r>
          </w:p>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规划局</w:t>
            </w:r>
          </w:p>
        </w:tc>
        <w:tc>
          <w:tcPr>
            <w:tcW w:w="290" w:type="pct"/>
            <w:tcBorders>
              <w:top w:val="single" w:sz="4" w:space="0" w:color="auto"/>
              <w:left w:val="single" w:sz="4" w:space="0" w:color="auto"/>
              <w:bottom w:val="single" w:sz="4" w:space="0" w:color="auto"/>
              <w:right w:val="single" w:sz="4" w:space="0" w:color="auto"/>
            </w:tcBorders>
            <w:vAlign w:val="center"/>
          </w:tcPr>
          <w:p w:rsidR="001246E4" w:rsidRDefault="001246E4">
            <w:pPr>
              <w:spacing w:line="340" w:lineRule="exact"/>
              <w:rPr>
                <w:rFonts w:asciiTheme="minorEastAsia" w:hAnsiTheme="minorEastAsia" w:cs="仿宋_GB2312"/>
                <w:szCs w:val="21"/>
              </w:rPr>
            </w:pPr>
          </w:p>
        </w:tc>
      </w:tr>
      <w:tr w:rsidR="001246E4">
        <w:trPr>
          <w:trHeight w:val="749"/>
        </w:trPr>
        <w:tc>
          <w:tcPr>
            <w:tcW w:w="273"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总分</w:t>
            </w:r>
          </w:p>
        </w:tc>
        <w:tc>
          <w:tcPr>
            <w:tcW w:w="1513" w:type="pct"/>
            <w:tcBorders>
              <w:top w:val="single" w:sz="4" w:space="0" w:color="auto"/>
              <w:left w:val="single" w:sz="4" w:space="0" w:color="auto"/>
              <w:bottom w:val="single" w:sz="4" w:space="0" w:color="auto"/>
              <w:right w:val="single" w:sz="4" w:space="0" w:color="auto"/>
            </w:tcBorders>
            <w:vAlign w:val="center"/>
          </w:tcPr>
          <w:p w:rsidR="001246E4" w:rsidRDefault="001246E4">
            <w:pPr>
              <w:spacing w:line="340" w:lineRule="exact"/>
              <w:rPr>
                <w:rFonts w:asciiTheme="minorEastAsia" w:hAnsiTheme="minorEastAsia" w:cs="仿宋_GB2312"/>
                <w:szCs w:val="21"/>
              </w:rPr>
            </w:pPr>
          </w:p>
        </w:tc>
        <w:tc>
          <w:tcPr>
            <w:tcW w:w="331" w:type="pct"/>
            <w:tcBorders>
              <w:top w:val="single" w:sz="4" w:space="0" w:color="auto"/>
              <w:left w:val="single" w:sz="4" w:space="0" w:color="auto"/>
              <w:bottom w:val="single" w:sz="4" w:space="0" w:color="auto"/>
              <w:right w:val="single" w:sz="4" w:space="0" w:color="auto"/>
            </w:tcBorders>
            <w:vAlign w:val="center"/>
          </w:tcPr>
          <w:p w:rsidR="001246E4" w:rsidRDefault="003650ED">
            <w:pPr>
              <w:spacing w:line="340" w:lineRule="exact"/>
              <w:jc w:val="center"/>
              <w:rPr>
                <w:rFonts w:asciiTheme="minorEastAsia" w:hAnsiTheme="minorEastAsia" w:cs="仿宋_GB2312"/>
                <w:szCs w:val="21"/>
              </w:rPr>
            </w:pPr>
            <w:r>
              <w:rPr>
                <w:rFonts w:asciiTheme="minorEastAsia" w:hAnsiTheme="minorEastAsia" w:cs="仿宋_GB2312" w:hint="eastAsia"/>
                <w:szCs w:val="21"/>
              </w:rPr>
              <w:t>100</w:t>
            </w:r>
          </w:p>
        </w:tc>
        <w:tc>
          <w:tcPr>
            <w:tcW w:w="2082" w:type="pct"/>
            <w:tcBorders>
              <w:top w:val="single" w:sz="4" w:space="0" w:color="auto"/>
              <w:left w:val="single" w:sz="4" w:space="0" w:color="auto"/>
              <w:bottom w:val="single" w:sz="4" w:space="0" w:color="auto"/>
              <w:right w:val="single" w:sz="4" w:space="0" w:color="auto"/>
            </w:tcBorders>
            <w:vAlign w:val="center"/>
          </w:tcPr>
          <w:p w:rsidR="001246E4" w:rsidRDefault="001246E4">
            <w:pPr>
              <w:spacing w:line="340" w:lineRule="exact"/>
              <w:rPr>
                <w:rFonts w:asciiTheme="minorEastAsia" w:hAnsiTheme="minorEastAsia" w:cs="仿宋_GB2312"/>
                <w:szCs w:val="21"/>
              </w:rPr>
            </w:pPr>
          </w:p>
        </w:tc>
        <w:tc>
          <w:tcPr>
            <w:tcW w:w="511" w:type="pct"/>
            <w:tcBorders>
              <w:top w:val="single" w:sz="4" w:space="0" w:color="auto"/>
              <w:left w:val="single" w:sz="4" w:space="0" w:color="auto"/>
              <w:bottom w:val="single" w:sz="4" w:space="0" w:color="auto"/>
              <w:right w:val="single" w:sz="4" w:space="0" w:color="auto"/>
            </w:tcBorders>
            <w:vAlign w:val="center"/>
          </w:tcPr>
          <w:p w:rsidR="001246E4" w:rsidRDefault="001246E4">
            <w:pPr>
              <w:spacing w:line="340" w:lineRule="exact"/>
              <w:jc w:val="center"/>
              <w:rPr>
                <w:rFonts w:asciiTheme="minorEastAsia" w:hAnsiTheme="minorEastAsia" w:cs="仿宋_GB2312"/>
                <w:szCs w:val="21"/>
              </w:rPr>
            </w:pPr>
          </w:p>
        </w:tc>
        <w:tc>
          <w:tcPr>
            <w:tcW w:w="290" w:type="pct"/>
            <w:tcBorders>
              <w:top w:val="single" w:sz="4" w:space="0" w:color="auto"/>
              <w:left w:val="single" w:sz="4" w:space="0" w:color="auto"/>
              <w:bottom w:val="single" w:sz="4" w:space="0" w:color="auto"/>
              <w:right w:val="single" w:sz="4" w:space="0" w:color="auto"/>
            </w:tcBorders>
            <w:vAlign w:val="center"/>
          </w:tcPr>
          <w:p w:rsidR="001246E4" w:rsidRDefault="001246E4">
            <w:pPr>
              <w:spacing w:line="340" w:lineRule="exact"/>
              <w:rPr>
                <w:rFonts w:asciiTheme="minorEastAsia" w:hAnsiTheme="minorEastAsia" w:cs="仿宋_GB2312"/>
                <w:szCs w:val="21"/>
              </w:rPr>
            </w:pPr>
          </w:p>
        </w:tc>
      </w:tr>
    </w:tbl>
    <w:p w:rsidR="001246E4" w:rsidRDefault="001246E4">
      <w:pPr>
        <w:spacing w:line="300" w:lineRule="exact"/>
        <w:rPr>
          <w:rFonts w:ascii="仿宋_GB2312" w:eastAsia="仿宋_GB2312" w:hAnsi="仿宋_GB2312" w:cs="仿宋_GB2312"/>
        </w:rPr>
      </w:pPr>
    </w:p>
    <w:p w:rsidR="001246E4" w:rsidRDefault="001246E4">
      <w:pPr>
        <w:jc w:val="left"/>
        <w:rPr>
          <w:rFonts w:ascii="仿宋_GB2312" w:eastAsia="仿宋_GB2312" w:hAnsi="仿宋_GB2312" w:cs="仿宋_GB2312"/>
          <w:sz w:val="32"/>
          <w:szCs w:val="32"/>
        </w:rPr>
      </w:pPr>
    </w:p>
    <w:p w:rsidR="001246E4" w:rsidRDefault="001246E4">
      <w:pPr>
        <w:jc w:val="left"/>
        <w:rPr>
          <w:rFonts w:ascii="仿宋_GB2312" w:eastAsia="仿宋_GB2312" w:hAnsi="仿宋_GB2312" w:cs="仿宋_GB2312"/>
          <w:sz w:val="32"/>
          <w:szCs w:val="32"/>
        </w:rPr>
      </w:pPr>
    </w:p>
    <w:p w:rsidR="001246E4" w:rsidRDefault="001246E4">
      <w:pPr>
        <w:jc w:val="left"/>
        <w:rPr>
          <w:rFonts w:ascii="仿宋_GB2312" w:eastAsia="仿宋_GB2312" w:hAnsi="仿宋_GB2312" w:cs="仿宋_GB2312"/>
          <w:sz w:val="32"/>
          <w:szCs w:val="32"/>
        </w:rPr>
        <w:sectPr w:rsidR="001246E4">
          <w:pgSz w:w="16838" w:h="11906" w:orient="landscape"/>
          <w:pgMar w:top="1440" w:right="1080" w:bottom="1440" w:left="1080" w:header="851" w:footer="992" w:gutter="0"/>
          <w:cols w:space="425"/>
          <w:docGrid w:type="lines" w:linePitch="312"/>
        </w:sectPr>
      </w:pPr>
    </w:p>
    <w:p w:rsidR="001246E4" w:rsidRDefault="003650ED">
      <w:pPr>
        <w:spacing w:line="560" w:lineRule="exact"/>
        <w:jc w:val="left"/>
        <w:rPr>
          <w:rFonts w:ascii="黑体" w:eastAsia="黑体" w:hAnsi="黑体" w:cs="仿宋_GB2312"/>
          <w:sz w:val="32"/>
          <w:szCs w:val="32"/>
        </w:rPr>
      </w:pPr>
      <w:r>
        <w:rPr>
          <w:rFonts w:ascii="黑体" w:eastAsia="黑体" w:hAnsi="黑体" w:cs="仿宋_GB2312" w:hint="eastAsia"/>
          <w:sz w:val="32"/>
          <w:szCs w:val="32"/>
        </w:rPr>
        <w:lastRenderedPageBreak/>
        <w:t>附件2</w:t>
      </w:r>
    </w:p>
    <w:p w:rsidR="001246E4" w:rsidRDefault="003650ED" w:rsidP="00E83AC1">
      <w:pPr>
        <w:spacing w:beforeLines="100" w:line="560" w:lineRule="exact"/>
        <w:jc w:val="center"/>
        <w:rPr>
          <w:rFonts w:ascii="方正小标宋简体" w:eastAsia="方正小标宋简体" w:hAnsi="仿宋_GB2312" w:cs="仿宋_GB2312"/>
          <w:sz w:val="32"/>
          <w:szCs w:val="32"/>
        </w:rPr>
      </w:pPr>
      <w:r>
        <w:rPr>
          <w:rFonts w:ascii="方正小标宋简体" w:eastAsia="方正小标宋简体" w:hAnsi="仿宋" w:hint="eastAsia"/>
          <w:bCs/>
          <w:sz w:val="44"/>
          <w:szCs w:val="44"/>
        </w:rPr>
        <w:t>机制砂综合管理月度评分表</w:t>
      </w:r>
    </w:p>
    <w:p w:rsidR="001246E4" w:rsidRDefault="001246E4">
      <w:pPr>
        <w:spacing w:line="320" w:lineRule="exact"/>
        <w:rPr>
          <w:rFonts w:asciiTheme="minorEastAsia" w:hAnsiTheme="minorEastAsia"/>
          <w:bCs/>
          <w:sz w:val="28"/>
          <w:szCs w:val="28"/>
        </w:rPr>
      </w:pPr>
    </w:p>
    <w:p w:rsidR="001246E4" w:rsidRDefault="003650ED">
      <w:pPr>
        <w:spacing w:line="560" w:lineRule="exact"/>
        <w:rPr>
          <w:rFonts w:asciiTheme="minorEastAsia" w:hAnsiTheme="minorEastAsia"/>
          <w:bCs/>
          <w:sz w:val="28"/>
          <w:szCs w:val="28"/>
        </w:rPr>
      </w:pPr>
      <w:r>
        <w:rPr>
          <w:rFonts w:asciiTheme="minorEastAsia" w:hAnsiTheme="minorEastAsia" w:hint="eastAsia"/>
          <w:bCs/>
          <w:sz w:val="28"/>
          <w:szCs w:val="28"/>
        </w:rPr>
        <w:t>机制砂企业：                              得分：</w:t>
      </w:r>
    </w:p>
    <w:tbl>
      <w:tblPr>
        <w:tblStyle w:val="a6"/>
        <w:tblW w:w="5025" w:type="pct"/>
        <w:tblLook w:val="04A0"/>
      </w:tblPr>
      <w:tblGrid>
        <w:gridCol w:w="942"/>
        <w:gridCol w:w="6679"/>
        <w:gridCol w:w="1484"/>
      </w:tblGrid>
      <w:tr w:rsidR="001246E4">
        <w:trPr>
          <w:trHeight w:val="679"/>
        </w:trPr>
        <w:tc>
          <w:tcPr>
            <w:tcW w:w="517" w:type="pct"/>
            <w:vAlign w:val="center"/>
          </w:tcPr>
          <w:p w:rsidR="001246E4" w:rsidRDefault="003650ED">
            <w:pPr>
              <w:spacing w:line="300" w:lineRule="exact"/>
              <w:jc w:val="center"/>
              <w:rPr>
                <w:rFonts w:asciiTheme="majorEastAsia" w:eastAsiaTheme="majorEastAsia" w:hAnsiTheme="majorEastAsia" w:cs="仿宋_GB2312"/>
                <w:b/>
                <w:szCs w:val="21"/>
              </w:rPr>
            </w:pPr>
            <w:r>
              <w:rPr>
                <w:rFonts w:asciiTheme="majorEastAsia" w:eastAsiaTheme="majorEastAsia" w:hAnsiTheme="majorEastAsia" w:cs="仿宋_GB2312" w:hint="eastAsia"/>
                <w:b/>
                <w:szCs w:val="21"/>
              </w:rPr>
              <w:t>序号</w:t>
            </w:r>
          </w:p>
        </w:tc>
        <w:tc>
          <w:tcPr>
            <w:tcW w:w="3668" w:type="pct"/>
            <w:vAlign w:val="center"/>
          </w:tcPr>
          <w:p w:rsidR="001246E4" w:rsidRDefault="003650ED">
            <w:pPr>
              <w:spacing w:line="300" w:lineRule="exact"/>
              <w:jc w:val="center"/>
              <w:rPr>
                <w:rFonts w:asciiTheme="majorEastAsia" w:eastAsiaTheme="majorEastAsia" w:hAnsiTheme="majorEastAsia" w:cs="仿宋_GB2312"/>
                <w:b/>
                <w:szCs w:val="21"/>
              </w:rPr>
            </w:pPr>
            <w:r>
              <w:rPr>
                <w:rFonts w:asciiTheme="majorEastAsia" w:eastAsiaTheme="majorEastAsia" w:hAnsiTheme="majorEastAsia" w:cs="仿宋_GB2312" w:hint="eastAsia"/>
                <w:b/>
                <w:szCs w:val="21"/>
              </w:rPr>
              <w:t>评分内容</w:t>
            </w:r>
          </w:p>
        </w:tc>
        <w:tc>
          <w:tcPr>
            <w:tcW w:w="815" w:type="pct"/>
            <w:vAlign w:val="center"/>
          </w:tcPr>
          <w:p w:rsidR="001246E4" w:rsidRDefault="003650ED">
            <w:pPr>
              <w:spacing w:line="300" w:lineRule="exact"/>
              <w:jc w:val="center"/>
              <w:rPr>
                <w:rFonts w:asciiTheme="majorEastAsia" w:eastAsiaTheme="majorEastAsia" w:hAnsiTheme="majorEastAsia" w:cs="仿宋_GB2312"/>
                <w:b/>
                <w:szCs w:val="21"/>
              </w:rPr>
            </w:pPr>
            <w:r>
              <w:rPr>
                <w:rFonts w:asciiTheme="majorEastAsia" w:eastAsiaTheme="majorEastAsia" w:hAnsiTheme="majorEastAsia" w:cs="仿宋_GB2312" w:hint="eastAsia"/>
                <w:b/>
                <w:szCs w:val="21"/>
              </w:rPr>
              <w:t>分值</w:t>
            </w:r>
          </w:p>
        </w:tc>
      </w:tr>
      <w:tr w:rsidR="001246E4">
        <w:trPr>
          <w:trHeight w:val="679"/>
        </w:trPr>
        <w:tc>
          <w:tcPr>
            <w:tcW w:w="517" w:type="pct"/>
            <w:vAlign w:val="center"/>
          </w:tcPr>
          <w:p w:rsidR="001246E4" w:rsidRDefault="003650ED">
            <w:pPr>
              <w:spacing w:line="300" w:lineRule="exact"/>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1</w:t>
            </w:r>
          </w:p>
        </w:tc>
        <w:tc>
          <w:tcPr>
            <w:tcW w:w="3668" w:type="pct"/>
            <w:vAlign w:val="center"/>
          </w:tcPr>
          <w:p w:rsidR="001246E4" w:rsidRDefault="003650ED">
            <w:pPr>
              <w:tabs>
                <w:tab w:val="left" w:pos="312"/>
              </w:tabs>
              <w:spacing w:line="300" w:lineRule="exact"/>
              <w:rPr>
                <w:rFonts w:asciiTheme="majorEastAsia" w:eastAsiaTheme="majorEastAsia" w:hAnsiTheme="majorEastAsia" w:cs="仿宋_GB2312"/>
                <w:szCs w:val="21"/>
              </w:rPr>
            </w:pPr>
            <w:r>
              <w:rPr>
                <w:rFonts w:asciiTheme="majorEastAsia" w:eastAsiaTheme="majorEastAsia" w:hAnsiTheme="majorEastAsia" w:cs="仿宋_GB2312" w:hint="eastAsia"/>
                <w:szCs w:val="21"/>
              </w:rPr>
              <w:t>场区内合理布置加工、办公、堆料等功能分区，场区四至界线清楚，有围墙或围槛隔离。推进“工厂化”封闭式生产，规范化经营。（10分）</w:t>
            </w:r>
          </w:p>
        </w:tc>
        <w:tc>
          <w:tcPr>
            <w:tcW w:w="815" w:type="pct"/>
            <w:vAlign w:val="center"/>
          </w:tcPr>
          <w:p w:rsidR="001246E4" w:rsidRDefault="001246E4">
            <w:pPr>
              <w:spacing w:line="300" w:lineRule="exact"/>
              <w:rPr>
                <w:rFonts w:asciiTheme="majorEastAsia" w:eastAsiaTheme="majorEastAsia" w:hAnsiTheme="majorEastAsia" w:cs="仿宋_GB2312"/>
                <w:szCs w:val="21"/>
              </w:rPr>
            </w:pPr>
          </w:p>
        </w:tc>
      </w:tr>
      <w:tr w:rsidR="001246E4">
        <w:trPr>
          <w:trHeight w:val="679"/>
        </w:trPr>
        <w:tc>
          <w:tcPr>
            <w:tcW w:w="517" w:type="pct"/>
            <w:vAlign w:val="center"/>
          </w:tcPr>
          <w:p w:rsidR="001246E4" w:rsidRDefault="003650ED">
            <w:pPr>
              <w:spacing w:line="300" w:lineRule="exact"/>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2</w:t>
            </w:r>
          </w:p>
        </w:tc>
        <w:tc>
          <w:tcPr>
            <w:tcW w:w="3668" w:type="pct"/>
            <w:vAlign w:val="center"/>
          </w:tcPr>
          <w:p w:rsidR="001246E4" w:rsidRDefault="003650ED">
            <w:pPr>
              <w:tabs>
                <w:tab w:val="left" w:pos="312"/>
              </w:tabs>
              <w:spacing w:line="300" w:lineRule="exact"/>
              <w:rPr>
                <w:rFonts w:asciiTheme="majorEastAsia" w:eastAsiaTheme="majorEastAsia" w:hAnsiTheme="majorEastAsia" w:cs="仿宋_GB2312"/>
                <w:szCs w:val="21"/>
              </w:rPr>
            </w:pPr>
            <w:r>
              <w:rPr>
                <w:rFonts w:asciiTheme="majorEastAsia" w:eastAsiaTheme="majorEastAsia" w:hAnsiTheme="majorEastAsia" w:cs="仿宋_GB2312" w:hint="eastAsia"/>
                <w:szCs w:val="21"/>
              </w:rPr>
              <w:t>场区进出口处道路和场内主干道路硬化，建有冲洗水槽和配冲洗设备，对驶出车辆进行冲洗，禁止带泥上路，场区内道路配备雾化喷淋装置或洒水车定期洒水。（10分）</w:t>
            </w:r>
          </w:p>
        </w:tc>
        <w:tc>
          <w:tcPr>
            <w:tcW w:w="815" w:type="pct"/>
            <w:vAlign w:val="center"/>
          </w:tcPr>
          <w:p w:rsidR="001246E4" w:rsidRDefault="001246E4">
            <w:pPr>
              <w:spacing w:line="300" w:lineRule="exact"/>
              <w:rPr>
                <w:rFonts w:asciiTheme="majorEastAsia" w:eastAsiaTheme="majorEastAsia" w:hAnsiTheme="majorEastAsia" w:cs="仿宋_GB2312"/>
                <w:szCs w:val="21"/>
              </w:rPr>
            </w:pPr>
          </w:p>
        </w:tc>
      </w:tr>
      <w:tr w:rsidR="001246E4">
        <w:trPr>
          <w:trHeight w:val="679"/>
        </w:trPr>
        <w:tc>
          <w:tcPr>
            <w:tcW w:w="517" w:type="pct"/>
            <w:vAlign w:val="center"/>
          </w:tcPr>
          <w:p w:rsidR="001246E4" w:rsidRDefault="003650ED">
            <w:pPr>
              <w:spacing w:line="300" w:lineRule="exact"/>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3</w:t>
            </w:r>
          </w:p>
        </w:tc>
        <w:tc>
          <w:tcPr>
            <w:tcW w:w="3668" w:type="pct"/>
            <w:vAlign w:val="center"/>
          </w:tcPr>
          <w:p w:rsidR="001246E4" w:rsidRDefault="003650ED">
            <w:pPr>
              <w:tabs>
                <w:tab w:val="left" w:pos="312"/>
              </w:tabs>
              <w:spacing w:line="300" w:lineRule="exact"/>
              <w:rPr>
                <w:rFonts w:asciiTheme="majorEastAsia" w:eastAsiaTheme="majorEastAsia" w:hAnsiTheme="majorEastAsia" w:cs="仿宋_GB2312"/>
                <w:szCs w:val="21"/>
              </w:rPr>
            </w:pPr>
            <w:r>
              <w:rPr>
                <w:rFonts w:asciiTheme="majorEastAsia" w:eastAsiaTheme="majorEastAsia" w:hAnsiTheme="majorEastAsia" w:cs="仿宋_GB2312" w:hint="eastAsia"/>
                <w:szCs w:val="21"/>
              </w:rPr>
              <w:t>场地及其周边定时洒水，对成品细料堆料进行密网覆盖。（10分）</w:t>
            </w:r>
          </w:p>
        </w:tc>
        <w:tc>
          <w:tcPr>
            <w:tcW w:w="815" w:type="pct"/>
            <w:vAlign w:val="center"/>
          </w:tcPr>
          <w:p w:rsidR="001246E4" w:rsidRDefault="001246E4">
            <w:pPr>
              <w:spacing w:line="300" w:lineRule="exact"/>
              <w:rPr>
                <w:rFonts w:asciiTheme="majorEastAsia" w:eastAsiaTheme="majorEastAsia" w:hAnsiTheme="majorEastAsia" w:cs="仿宋_GB2312"/>
                <w:szCs w:val="21"/>
              </w:rPr>
            </w:pPr>
          </w:p>
        </w:tc>
      </w:tr>
      <w:tr w:rsidR="001246E4">
        <w:trPr>
          <w:trHeight w:val="679"/>
        </w:trPr>
        <w:tc>
          <w:tcPr>
            <w:tcW w:w="517" w:type="pct"/>
            <w:vAlign w:val="center"/>
          </w:tcPr>
          <w:p w:rsidR="001246E4" w:rsidRDefault="003650ED">
            <w:pPr>
              <w:spacing w:line="300" w:lineRule="exact"/>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4</w:t>
            </w:r>
          </w:p>
        </w:tc>
        <w:tc>
          <w:tcPr>
            <w:tcW w:w="3668" w:type="pct"/>
            <w:vAlign w:val="center"/>
          </w:tcPr>
          <w:p w:rsidR="001246E4" w:rsidRDefault="003650ED">
            <w:pPr>
              <w:tabs>
                <w:tab w:val="left" w:pos="312"/>
              </w:tabs>
              <w:spacing w:line="300" w:lineRule="exact"/>
              <w:rPr>
                <w:rFonts w:asciiTheme="majorEastAsia" w:eastAsiaTheme="majorEastAsia" w:hAnsiTheme="majorEastAsia" w:cs="仿宋_GB2312"/>
                <w:szCs w:val="21"/>
              </w:rPr>
            </w:pPr>
            <w:r>
              <w:rPr>
                <w:rFonts w:asciiTheme="majorEastAsia" w:eastAsiaTheme="majorEastAsia" w:hAnsiTheme="majorEastAsia" w:cs="仿宋_GB2312" w:hint="eastAsia"/>
                <w:szCs w:val="21"/>
              </w:rPr>
              <w:t>装卸、每级破碎、筛分石料进行喷雾增湿抑尘，进料口采用三面一顶封闭，主要加工设备采用封闭运行或湿法加工。（10分）</w:t>
            </w:r>
          </w:p>
        </w:tc>
        <w:tc>
          <w:tcPr>
            <w:tcW w:w="815" w:type="pct"/>
            <w:vAlign w:val="center"/>
          </w:tcPr>
          <w:p w:rsidR="001246E4" w:rsidRDefault="001246E4">
            <w:pPr>
              <w:spacing w:line="300" w:lineRule="exact"/>
              <w:rPr>
                <w:rFonts w:asciiTheme="majorEastAsia" w:eastAsiaTheme="majorEastAsia" w:hAnsiTheme="majorEastAsia" w:cs="仿宋_GB2312"/>
                <w:szCs w:val="21"/>
              </w:rPr>
            </w:pPr>
          </w:p>
        </w:tc>
      </w:tr>
      <w:tr w:rsidR="001246E4">
        <w:trPr>
          <w:trHeight w:val="679"/>
        </w:trPr>
        <w:tc>
          <w:tcPr>
            <w:tcW w:w="517" w:type="pct"/>
            <w:vAlign w:val="center"/>
          </w:tcPr>
          <w:p w:rsidR="001246E4" w:rsidRDefault="003650ED">
            <w:pPr>
              <w:spacing w:line="300" w:lineRule="exact"/>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5</w:t>
            </w:r>
          </w:p>
        </w:tc>
        <w:tc>
          <w:tcPr>
            <w:tcW w:w="3668" w:type="pct"/>
            <w:vAlign w:val="center"/>
          </w:tcPr>
          <w:p w:rsidR="001246E4" w:rsidRDefault="003650ED">
            <w:pPr>
              <w:tabs>
                <w:tab w:val="left" w:pos="312"/>
              </w:tabs>
              <w:spacing w:line="300" w:lineRule="exact"/>
              <w:rPr>
                <w:rFonts w:asciiTheme="majorEastAsia" w:eastAsiaTheme="majorEastAsia" w:hAnsiTheme="majorEastAsia" w:cs="仿宋_GB2312"/>
                <w:szCs w:val="21"/>
              </w:rPr>
            </w:pPr>
            <w:r>
              <w:rPr>
                <w:rFonts w:asciiTheme="majorEastAsia" w:eastAsiaTheme="majorEastAsia" w:hAnsiTheme="majorEastAsia" w:cs="仿宋_GB2312" w:hint="eastAsia"/>
                <w:szCs w:val="21"/>
              </w:rPr>
              <w:t>配置粉尘检测设备，根据要求，开展粉尘日常检测，每月自行检测粉尘浓度1次，并建立粉尘监测台账。（5分）</w:t>
            </w:r>
          </w:p>
        </w:tc>
        <w:tc>
          <w:tcPr>
            <w:tcW w:w="815" w:type="pct"/>
            <w:vAlign w:val="center"/>
          </w:tcPr>
          <w:p w:rsidR="001246E4" w:rsidRDefault="001246E4">
            <w:pPr>
              <w:spacing w:line="300" w:lineRule="exact"/>
              <w:rPr>
                <w:rFonts w:asciiTheme="majorEastAsia" w:eastAsiaTheme="majorEastAsia" w:hAnsiTheme="majorEastAsia" w:cs="仿宋_GB2312"/>
                <w:szCs w:val="21"/>
              </w:rPr>
            </w:pPr>
          </w:p>
        </w:tc>
      </w:tr>
      <w:tr w:rsidR="001246E4">
        <w:trPr>
          <w:trHeight w:val="679"/>
        </w:trPr>
        <w:tc>
          <w:tcPr>
            <w:tcW w:w="517" w:type="pct"/>
            <w:vAlign w:val="center"/>
          </w:tcPr>
          <w:p w:rsidR="001246E4" w:rsidRDefault="003650ED">
            <w:pPr>
              <w:spacing w:line="300" w:lineRule="exact"/>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6</w:t>
            </w:r>
          </w:p>
        </w:tc>
        <w:tc>
          <w:tcPr>
            <w:tcW w:w="3668" w:type="pct"/>
            <w:vAlign w:val="center"/>
          </w:tcPr>
          <w:p w:rsidR="001246E4" w:rsidRDefault="003650ED">
            <w:pPr>
              <w:tabs>
                <w:tab w:val="left" w:pos="312"/>
              </w:tabs>
              <w:spacing w:line="300" w:lineRule="exact"/>
              <w:rPr>
                <w:rFonts w:asciiTheme="majorEastAsia" w:eastAsiaTheme="majorEastAsia" w:hAnsiTheme="majorEastAsia" w:cs="仿宋_GB2312"/>
                <w:szCs w:val="21"/>
              </w:rPr>
            </w:pPr>
            <w:r>
              <w:rPr>
                <w:rFonts w:asciiTheme="majorEastAsia" w:eastAsiaTheme="majorEastAsia" w:hAnsiTheme="majorEastAsia" w:cs="仿宋_GB2312" w:hint="eastAsia"/>
                <w:szCs w:val="21"/>
              </w:rPr>
              <w:t>运输车辆禁止超载超限，需加盖篷布遮盖运输，防止沿途扬散。（10分）</w:t>
            </w:r>
          </w:p>
        </w:tc>
        <w:tc>
          <w:tcPr>
            <w:tcW w:w="815" w:type="pct"/>
            <w:vAlign w:val="center"/>
          </w:tcPr>
          <w:p w:rsidR="001246E4" w:rsidRDefault="001246E4">
            <w:pPr>
              <w:spacing w:line="300" w:lineRule="exact"/>
              <w:rPr>
                <w:rFonts w:asciiTheme="majorEastAsia" w:eastAsiaTheme="majorEastAsia" w:hAnsiTheme="majorEastAsia" w:cs="仿宋_GB2312"/>
                <w:szCs w:val="21"/>
              </w:rPr>
            </w:pPr>
          </w:p>
        </w:tc>
      </w:tr>
      <w:tr w:rsidR="001246E4">
        <w:trPr>
          <w:trHeight w:val="679"/>
        </w:trPr>
        <w:tc>
          <w:tcPr>
            <w:tcW w:w="517" w:type="pct"/>
            <w:vAlign w:val="center"/>
          </w:tcPr>
          <w:p w:rsidR="001246E4" w:rsidRDefault="003650ED">
            <w:pPr>
              <w:spacing w:line="300" w:lineRule="exact"/>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7</w:t>
            </w:r>
          </w:p>
        </w:tc>
        <w:tc>
          <w:tcPr>
            <w:tcW w:w="3668" w:type="pct"/>
            <w:vAlign w:val="center"/>
          </w:tcPr>
          <w:p w:rsidR="001246E4" w:rsidRDefault="003650ED">
            <w:pPr>
              <w:tabs>
                <w:tab w:val="left" w:pos="312"/>
              </w:tabs>
              <w:spacing w:line="300" w:lineRule="exact"/>
              <w:rPr>
                <w:rFonts w:asciiTheme="majorEastAsia" w:eastAsiaTheme="majorEastAsia" w:hAnsiTheme="majorEastAsia" w:cs="仿宋_GB2312"/>
                <w:szCs w:val="21"/>
              </w:rPr>
            </w:pPr>
            <w:r>
              <w:rPr>
                <w:rFonts w:asciiTheme="majorEastAsia" w:eastAsiaTheme="majorEastAsia" w:hAnsiTheme="majorEastAsia" w:cs="仿宋_GB2312" w:hint="eastAsia"/>
                <w:szCs w:val="21"/>
              </w:rPr>
              <w:t>生产区、堆料区和进出口等重要区域安装监控系统，实施24小时监控，监控数据规范保存15天以上。（10分）</w:t>
            </w:r>
          </w:p>
        </w:tc>
        <w:tc>
          <w:tcPr>
            <w:tcW w:w="815" w:type="pct"/>
            <w:vAlign w:val="center"/>
          </w:tcPr>
          <w:p w:rsidR="001246E4" w:rsidRDefault="001246E4">
            <w:pPr>
              <w:spacing w:line="300" w:lineRule="exact"/>
              <w:rPr>
                <w:rFonts w:asciiTheme="majorEastAsia" w:eastAsiaTheme="majorEastAsia" w:hAnsiTheme="majorEastAsia" w:cs="仿宋_GB2312"/>
                <w:szCs w:val="21"/>
              </w:rPr>
            </w:pPr>
          </w:p>
        </w:tc>
      </w:tr>
      <w:tr w:rsidR="001246E4">
        <w:trPr>
          <w:trHeight w:val="679"/>
        </w:trPr>
        <w:tc>
          <w:tcPr>
            <w:tcW w:w="517" w:type="pct"/>
            <w:vAlign w:val="center"/>
          </w:tcPr>
          <w:p w:rsidR="001246E4" w:rsidRDefault="003650ED">
            <w:pPr>
              <w:spacing w:line="300" w:lineRule="exact"/>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8</w:t>
            </w:r>
          </w:p>
        </w:tc>
        <w:tc>
          <w:tcPr>
            <w:tcW w:w="3668" w:type="pct"/>
            <w:vAlign w:val="center"/>
          </w:tcPr>
          <w:p w:rsidR="001246E4" w:rsidRDefault="003650ED">
            <w:pPr>
              <w:tabs>
                <w:tab w:val="left" w:pos="312"/>
              </w:tabs>
              <w:spacing w:line="300" w:lineRule="exact"/>
              <w:rPr>
                <w:rFonts w:asciiTheme="majorEastAsia" w:eastAsiaTheme="majorEastAsia" w:hAnsiTheme="majorEastAsia" w:cs="仿宋_GB2312"/>
                <w:szCs w:val="21"/>
              </w:rPr>
            </w:pPr>
            <w:r>
              <w:rPr>
                <w:rFonts w:asciiTheme="majorEastAsia" w:eastAsiaTheme="majorEastAsia" w:hAnsiTheme="majorEastAsia" w:cs="仿宋_GB2312" w:hint="eastAsia"/>
                <w:szCs w:val="21"/>
              </w:rPr>
              <w:t>制砂场进货台账、生产台账、销售台账等记录规范，档案资料齐全。（10分）</w:t>
            </w:r>
          </w:p>
        </w:tc>
        <w:tc>
          <w:tcPr>
            <w:tcW w:w="815" w:type="pct"/>
            <w:vAlign w:val="center"/>
          </w:tcPr>
          <w:p w:rsidR="001246E4" w:rsidRDefault="001246E4">
            <w:pPr>
              <w:spacing w:line="300" w:lineRule="exact"/>
              <w:rPr>
                <w:rFonts w:asciiTheme="majorEastAsia" w:eastAsiaTheme="majorEastAsia" w:hAnsiTheme="majorEastAsia" w:cs="仿宋_GB2312"/>
                <w:szCs w:val="21"/>
              </w:rPr>
            </w:pPr>
          </w:p>
        </w:tc>
      </w:tr>
      <w:tr w:rsidR="001246E4">
        <w:trPr>
          <w:trHeight w:val="679"/>
        </w:trPr>
        <w:tc>
          <w:tcPr>
            <w:tcW w:w="517" w:type="pct"/>
            <w:vAlign w:val="center"/>
          </w:tcPr>
          <w:p w:rsidR="001246E4" w:rsidRDefault="003650ED">
            <w:pPr>
              <w:spacing w:line="300" w:lineRule="exact"/>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9</w:t>
            </w:r>
          </w:p>
        </w:tc>
        <w:tc>
          <w:tcPr>
            <w:tcW w:w="3668" w:type="pct"/>
            <w:vAlign w:val="center"/>
          </w:tcPr>
          <w:p w:rsidR="001246E4" w:rsidRDefault="003650ED">
            <w:pPr>
              <w:tabs>
                <w:tab w:val="left" w:pos="312"/>
              </w:tabs>
              <w:spacing w:line="300" w:lineRule="exact"/>
              <w:rPr>
                <w:rFonts w:asciiTheme="majorEastAsia" w:eastAsiaTheme="majorEastAsia" w:hAnsiTheme="majorEastAsia" w:cs="仿宋_GB2312"/>
                <w:szCs w:val="21"/>
              </w:rPr>
            </w:pPr>
            <w:r>
              <w:rPr>
                <w:rFonts w:asciiTheme="majorEastAsia" w:eastAsiaTheme="majorEastAsia" w:hAnsiTheme="majorEastAsia" w:cs="仿宋_GB2312" w:hint="eastAsia"/>
                <w:szCs w:val="21"/>
              </w:rPr>
              <w:t>取水计量规范，按时缴纳水资源费，水土保持措施落实到位。（5分）</w:t>
            </w:r>
          </w:p>
        </w:tc>
        <w:tc>
          <w:tcPr>
            <w:tcW w:w="815" w:type="pct"/>
            <w:vAlign w:val="center"/>
          </w:tcPr>
          <w:p w:rsidR="001246E4" w:rsidRDefault="001246E4">
            <w:pPr>
              <w:spacing w:line="300" w:lineRule="exact"/>
              <w:rPr>
                <w:rFonts w:asciiTheme="majorEastAsia" w:eastAsiaTheme="majorEastAsia" w:hAnsiTheme="majorEastAsia" w:cs="仿宋_GB2312"/>
                <w:szCs w:val="21"/>
              </w:rPr>
            </w:pPr>
          </w:p>
        </w:tc>
      </w:tr>
      <w:tr w:rsidR="001246E4">
        <w:trPr>
          <w:trHeight w:val="679"/>
        </w:trPr>
        <w:tc>
          <w:tcPr>
            <w:tcW w:w="517" w:type="pct"/>
            <w:vAlign w:val="center"/>
          </w:tcPr>
          <w:p w:rsidR="001246E4" w:rsidRDefault="003650ED">
            <w:pPr>
              <w:spacing w:line="300" w:lineRule="exact"/>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10</w:t>
            </w:r>
          </w:p>
        </w:tc>
        <w:tc>
          <w:tcPr>
            <w:tcW w:w="3668" w:type="pct"/>
            <w:vAlign w:val="center"/>
          </w:tcPr>
          <w:p w:rsidR="001246E4" w:rsidRDefault="003650ED">
            <w:pPr>
              <w:tabs>
                <w:tab w:val="left" w:pos="312"/>
              </w:tabs>
              <w:spacing w:line="300" w:lineRule="exact"/>
              <w:rPr>
                <w:rFonts w:asciiTheme="majorEastAsia" w:eastAsiaTheme="majorEastAsia" w:hAnsiTheme="majorEastAsia" w:cs="仿宋_GB2312"/>
                <w:szCs w:val="21"/>
              </w:rPr>
            </w:pPr>
            <w:r>
              <w:rPr>
                <w:rFonts w:asciiTheme="majorEastAsia" w:eastAsiaTheme="majorEastAsia" w:hAnsiTheme="majorEastAsia" w:cs="仿宋_GB2312" w:hint="eastAsia"/>
                <w:szCs w:val="21"/>
              </w:rPr>
              <w:t>建有配套的废水处理设施，废水经处理后循环使用不外排，设施正常运行。（5分）</w:t>
            </w:r>
          </w:p>
        </w:tc>
        <w:tc>
          <w:tcPr>
            <w:tcW w:w="815" w:type="pct"/>
            <w:vAlign w:val="center"/>
          </w:tcPr>
          <w:p w:rsidR="001246E4" w:rsidRDefault="001246E4">
            <w:pPr>
              <w:spacing w:line="300" w:lineRule="exact"/>
              <w:rPr>
                <w:rFonts w:asciiTheme="majorEastAsia" w:eastAsiaTheme="majorEastAsia" w:hAnsiTheme="majorEastAsia" w:cs="仿宋_GB2312"/>
                <w:szCs w:val="21"/>
              </w:rPr>
            </w:pPr>
          </w:p>
        </w:tc>
      </w:tr>
      <w:tr w:rsidR="001246E4">
        <w:trPr>
          <w:trHeight w:val="679"/>
        </w:trPr>
        <w:tc>
          <w:tcPr>
            <w:tcW w:w="517" w:type="pct"/>
            <w:vAlign w:val="center"/>
          </w:tcPr>
          <w:p w:rsidR="001246E4" w:rsidRDefault="003650ED">
            <w:pPr>
              <w:spacing w:line="300" w:lineRule="exact"/>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11</w:t>
            </w:r>
          </w:p>
        </w:tc>
        <w:tc>
          <w:tcPr>
            <w:tcW w:w="3668" w:type="pct"/>
            <w:vAlign w:val="center"/>
          </w:tcPr>
          <w:p w:rsidR="001246E4" w:rsidRDefault="003650ED">
            <w:pPr>
              <w:tabs>
                <w:tab w:val="left" w:pos="312"/>
              </w:tabs>
              <w:spacing w:line="300" w:lineRule="exact"/>
              <w:rPr>
                <w:rFonts w:asciiTheme="majorEastAsia" w:eastAsiaTheme="majorEastAsia" w:hAnsiTheme="majorEastAsia" w:cs="仿宋_GB2312"/>
                <w:szCs w:val="21"/>
              </w:rPr>
            </w:pPr>
            <w:r>
              <w:rPr>
                <w:rFonts w:asciiTheme="majorEastAsia" w:eastAsiaTheme="majorEastAsia" w:hAnsiTheme="majorEastAsia" w:cs="仿宋_GB2312" w:hint="eastAsia"/>
                <w:szCs w:val="21"/>
              </w:rPr>
              <w:t>安全生产检查开展情况，安全教育培训开展情况，安全防护措施、安全警示警告标志落实情况，安全用电情况,建立企业安全生产台账。(8分)。</w:t>
            </w:r>
          </w:p>
        </w:tc>
        <w:tc>
          <w:tcPr>
            <w:tcW w:w="815" w:type="pct"/>
            <w:vAlign w:val="center"/>
          </w:tcPr>
          <w:p w:rsidR="001246E4" w:rsidRDefault="001246E4">
            <w:pPr>
              <w:spacing w:line="300" w:lineRule="exact"/>
              <w:rPr>
                <w:rFonts w:asciiTheme="majorEastAsia" w:eastAsiaTheme="majorEastAsia" w:hAnsiTheme="majorEastAsia" w:cs="仿宋_GB2312"/>
                <w:szCs w:val="21"/>
              </w:rPr>
            </w:pPr>
          </w:p>
        </w:tc>
      </w:tr>
      <w:tr w:rsidR="001246E4">
        <w:trPr>
          <w:trHeight w:val="679"/>
        </w:trPr>
        <w:tc>
          <w:tcPr>
            <w:tcW w:w="517" w:type="pct"/>
            <w:vAlign w:val="center"/>
          </w:tcPr>
          <w:p w:rsidR="001246E4" w:rsidRDefault="003650ED">
            <w:pPr>
              <w:spacing w:line="300" w:lineRule="exact"/>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12</w:t>
            </w:r>
          </w:p>
        </w:tc>
        <w:tc>
          <w:tcPr>
            <w:tcW w:w="3668" w:type="pct"/>
            <w:vAlign w:val="center"/>
          </w:tcPr>
          <w:p w:rsidR="001246E4" w:rsidRDefault="003650ED">
            <w:pPr>
              <w:spacing w:line="300" w:lineRule="exact"/>
              <w:rPr>
                <w:rFonts w:asciiTheme="majorEastAsia" w:eastAsiaTheme="majorEastAsia" w:hAnsiTheme="majorEastAsia" w:cs="仿宋_GB2312"/>
                <w:szCs w:val="21"/>
              </w:rPr>
            </w:pPr>
            <w:r>
              <w:rPr>
                <w:rFonts w:asciiTheme="majorEastAsia" w:eastAsiaTheme="majorEastAsia" w:hAnsiTheme="majorEastAsia" w:cs="仿宋_GB2312" w:hint="eastAsia"/>
                <w:szCs w:val="21"/>
              </w:rPr>
              <w:t>及时办理临时用地，政策处理到位。(7分)</w:t>
            </w:r>
          </w:p>
        </w:tc>
        <w:tc>
          <w:tcPr>
            <w:tcW w:w="815" w:type="pct"/>
            <w:vAlign w:val="center"/>
          </w:tcPr>
          <w:p w:rsidR="001246E4" w:rsidRDefault="001246E4">
            <w:pPr>
              <w:spacing w:line="300" w:lineRule="exact"/>
              <w:rPr>
                <w:rFonts w:asciiTheme="majorEastAsia" w:eastAsiaTheme="majorEastAsia" w:hAnsiTheme="majorEastAsia" w:cs="仿宋_GB2312"/>
                <w:szCs w:val="21"/>
              </w:rPr>
            </w:pPr>
          </w:p>
        </w:tc>
      </w:tr>
      <w:tr w:rsidR="001246E4">
        <w:trPr>
          <w:trHeight w:val="679"/>
        </w:trPr>
        <w:tc>
          <w:tcPr>
            <w:tcW w:w="517" w:type="pct"/>
            <w:vAlign w:val="center"/>
          </w:tcPr>
          <w:p w:rsidR="001246E4" w:rsidRDefault="003650ED">
            <w:pPr>
              <w:spacing w:line="300" w:lineRule="exact"/>
              <w:jc w:val="center"/>
              <w:rPr>
                <w:rFonts w:asciiTheme="majorEastAsia" w:eastAsiaTheme="majorEastAsia" w:hAnsiTheme="majorEastAsia" w:cs="仿宋_GB2312"/>
                <w:szCs w:val="21"/>
              </w:rPr>
            </w:pPr>
            <w:r>
              <w:rPr>
                <w:rFonts w:asciiTheme="majorEastAsia" w:eastAsiaTheme="majorEastAsia" w:hAnsiTheme="majorEastAsia" w:cs="仿宋_GB2312" w:hint="eastAsia"/>
                <w:szCs w:val="21"/>
              </w:rPr>
              <w:t>得分</w:t>
            </w:r>
          </w:p>
        </w:tc>
        <w:tc>
          <w:tcPr>
            <w:tcW w:w="3668" w:type="pct"/>
            <w:vAlign w:val="center"/>
          </w:tcPr>
          <w:p w:rsidR="001246E4" w:rsidRDefault="003650ED">
            <w:pPr>
              <w:spacing w:line="300" w:lineRule="exact"/>
              <w:rPr>
                <w:rFonts w:asciiTheme="majorEastAsia" w:eastAsiaTheme="majorEastAsia" w:hAnsiTheme="majorEastAsia" w:cs="仿宋_GB2312"/>
                <w:szCs w:val="21"/>
              </w:rPr>
            </w:pPr>
            <w:r>
              <w:rPr>
                <w:rFonts w:asciiTheme="majorEastAsia" w:eastAsiaTheme="majorEastAsia" w:hAnsiTheme="majorEastAsia" w:cs="仿宋_GB2312" w:hint="eastAsia"/>
                <w:szCs w:val="21"/>
              </w:rPr>
              <w:t>总分100分</w:t>
            </w:r>
          </w:p>
        </w:tc>
        <w:tc>
          <w:tcPr>
            <w:tcW w:w="815" w:type="pct"/>
            <w:vAlign w:val="center"/>
          </w:tcPr>
          <w:p w:rsidR="001246E4" w:rsidRDefault="001246E4">
            <w:pPr>
              <w:spacing w:line="300" w:lineRule="exact"/>
              <w:rPr>
                <w:rFonts w:asciiTheme="majorEastAsia" w:eastAsiaTheme="majorEastAsia" w:hAnsiTheme="majorEastAsia" w:cs="仿宋_GB2312"/>
                <w:szCs w:val="21"/>
              </w:rPr>
            </w:pPr>
          </w:p>
        </w:tc>
      </w:tr>
    </w:tbl>
    <w:p w:rsidR="001246E4" w:rsidRDefault="003650ED">
      <w:pPr>
        <w:spacing w:line="600" w:lineRule="exact"/>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（此件公开发布）</w:t>
      </w:r>
    </w:p>
    <w:p w:rsidR="001246E4" w:rsidRDefault="001246E4">
      <w:pPr>
        <w:spacing w:line="600" w:lineRule="exact"/>
        <w:ind w:firstLine="630"/>
        <w:rPr>
          <w:rFonts w:ascii="Times New Roman" w:eastAsia="仿宋_GB2312" w:hAnsi="Times New Roman" w:cs="Times New Roman"/>
          <w:sz w:val="32"/>
          <w:szCs w:val="32"/>
        </w:rPr>
      </w:pPr>
    </w:p>
    <w:p w:rsidR="001246E4" w:rsidRDefault="001246E4">
      <w:pPr>
        <w:spacing w:line="600" w:lineRule="exact"/>
        <w:ind w:firstLine="630"/>
        <w:rPr>
          <w:rFonts w:ascii="Times New Roman" w:eastAsia="仿宋_GB2312" w:hAnsi="Times New Roman" w:cs="Times New Roman"/>
          <w:sz w:val="32"/>
          <w:szCs w:val="32"/>
        </w:rPr>
      </w:pPr>
    </w:p>
    <w:p w:rsidR="001246E4" w:rsidRDefault="001246E4">
      <w:pPr>
        <w:spacing w:line="600" w:lineRule="exact"/>
        <w:ind w:firstLine="630"/>
        <w:rPr>
          <w:rFonts w:ascii="Times New Roman" w:eastAsia="仿宋_GB2312" w:hAnsi="Times New Roman" w:cs="Times New Roman"/>
          <w:sz w:val="32"/>
          <w:szCs w:val="32"/>
        </w:rPr>
      </w:pPr>
    </w:p>
    <w:p w:rsidR="001246E4" w:rsidRDefault="001246E4">
      <w:pPr>
        <w:spacing w:line="600" w:lineRule="exact"/>
        <w:ind w:firstLine="630"/>
        <w:rPr>
          <w:rFonts w:ascii="Times New Roman" w:eastAsia="仿宋_GB2312" w:hAnsi="Times New Roman" w:cs="Times New Roman"/>
          <w:sz w:val="32"/>
          <w:szCs w:val="32"/>
        </w:rPr>
      </w:pPr>
    </w:p>
    <w:p w:rsidR="001246E4" w:rsidRDefault="001246E4">
      <w:pPr>
        <w:spacing w:line="600" w:lineRule="exact"/>
        <w:ind w:firstLine="630"/>
        <w:rPr>
          <w:rFonts w:ascii="Times New Roman" w:eastAsia="仿宋_GB2312" w:hAnsi="Times New Roman" w:cs="Times New Roman"/>
          <w:sz w:val="32"/>
          <w:szCs w:val="32"/>
        </w:rPr>
      </w:pPr>
    </w:p>
    <w:p w:rsidR="001246E4" w:rsidRDefault="001246E4">
      <w:pPr>
        <w:spacing w:line="600" w:lineRule="exact"/>
        <w:ind w:firstLine="630"/>
        <w:rPr>
          <w:rFonts w:ascii="Times New Roman" w:eastAsia="仿宋_GB2312" w:hAnsi="Times New Roman" w:cs="Times New Roman"/>
          <w:sz w:val="32"/>
          <w:szCs w:val="32"/>
        </w:rPr>
      </w:pPr>
    </w:p>
    <w:p w:rsidR="001246E4" w:rsidRDefault="001246E4">
      <w:pPr>
        <w:spacing w:line="600" w:lineRule="exact"/>
        <w:ind w:firstLine="630"/>
        <w:rPr>
          <w:rFonts w:ascii="Times New Roman" w:eastAsia="仿宋_GB2312" w:hAnsi="Times New Roman" w:cs="Times New Roman"/>
          <w:sz w:val="32"/>
          <w:szCs w:val="32"/>
        </w:rPr>
      </w:pPr>
    </w:p>
    <w:p w:rsidR="001246E4" w:rsidRDefault="001246E4">
      <w:pPr>
        <w:spacing w:line="600" w:lineRule="exact"/>
        <w:ind w:firstLine="630"/>
        <w:rPr>
          <w:rFonts w:ascii="Times New Roman" w:eastAsia="仿宋_GB2312" w:hAnsi="Times New Roman" w:cs="Times New Roman"/>
          <w:sz w:val="32"/>
          <w:szCs w:val="32"/>
        </w:rPr>
      </w:pPr>
    </w:p>
    <w:p w:rsidR="001246E4" w:rsidRDefault="001246E4">
      <w:pPr>
        <w:spacing w:line="600" w:lineRule="exact"/>
        <w:ind w:firstLine="630"/>
        <w:rPr>
          <w:rFonts w:ascii="Times New Roman" w:eastAsia="仿宋_GB2312" w:hAnsi="Times New Roman" w:cs="Times New Roman"/>
          <w:sz w:val="32"/>
          <w:szCs w:val="32"/>
        </w:rPr>
      </w:pPr>
    </w:p>
    <w:p w:rsidR="001246E4" w:rsidRDefault="001246E4">
      <w:pPr>
        <w:spacing w:line="600" w:lineRule="exact"/>
        <w:ind w:firstLine="630"/>
        <w:rPr>
          <w:rFonts w:ascii="Times New Roman" w:eastAsia="仿宋_GB2312" w:hAnsi="Times New Roman" w:cs="Times New Roman"/>
          <w:sz w:val="32"/>
          <w:szCs w:val="32"/>
        </w:rPr>
      </w:pPr>
    </w:p>
    <w:p w:rsidR="001246E4" w:rsidRDefault="001246E4">
      <w:pPr>
        <w:spacing w:line="600" w:lineRule="exact"/>
        <w:ind w:firstLine="630"/>
        <w:rPr>
          <w:rFonts w:ascii="Times New Roman" w:eastAsia="仿宋_GB2312" w:hAnsi="Times New Roman" w:cs="Times New Roman"/>
          <w:sz w:val="32"/>
          <w:szCs w:val="32"/>
        </w:rPr>
      </w:pPr>
    </w:p>
    <w:p w:rsidR="001246E4" w:rsidRDefault="001246E4">
      <w:pPr>
        <w:spacing w:line="600" w:lineRule="exact"/>
        <w:ind w:firstLine="630"/>
        <w:rPr>
          <w:rFonts w:ascii="Times New Roman" w:eastAsia="仿宋_GB2312" w:hAnsi="Times New Roman" w:cs="Times New Roman"/>
          <w:sz w:val="32"/>
          <w:szCs w:val="32"/>
        </w:rPr>
      </w:pPr>
    </w:p>
    <w:p w:rsidR="001246E4" w:rsidRDefault="001246E4">
      <w:pPr>
        <w:spacing w:line="600" w:lineRule="exact"/>
        <w:ind w:firstLine="630"/>
        <w:rPr>
          <w:rFonts w:ascii="Times New Roman" w:eastAsia="仿宋_GB2312" w:hAnsi="Times New Roman" w:cs="Times New Roman"/>
          <w:sz w:val="32"/>
          <w:szCs w:val="32"/>
        </w:rPr>
      </w:pPr>
    </w:p>
    <w:p w:rsidR="001246E4" w:rsidRDefault="001246E4">
      <w:pPr>
        <w:spacing w:line="600" w:lineRule="exact"/>
        <w:ind w:firstLine="630"/>
        <w:rPr>
          <w:rFonts w:ascii="Times New Roman" w:eastAsia="仿宋_GB2312" w:hAnsi="Times New Roman" w:cs="Times New Roman"/>
          <w:sz w:val="32"/>
          <w:szCs w:val="32"/>
        </w:rPr>
      </w:pPr>
    </w:p>
    <w:p w:rsidR="001246E4" w:rsidRDefault="001246E4">
      <w:pPr>
        <w:spacing w:line="600" w:lineRule="exact"/>
        <w:ind w:firstLine="630"/>
        <w:rPr>
          <w:rFonts w:ascii="Times New Roman" w:eastAsia="仿宋_GB2312" w:hAnsi="Times New Roman" w:cs="Times New Roman"/>
          <w:sz w:val="32"/>
          <w:szCs w:val="32"/>
        </w:rPr>
      </w:pPr>
    </w:p>
    <w:p w:rsidR="001246E4" w:rsidRDefault="001246E4">
      <w:pPr>
        <w:spacing w:line="600" w:lineRule="exact"/>
        <w:ind w:firstLine="630"/>
        <w:rPr>
          <w:rFonts w:ascii="Times New Roman" w:eastAsia="仿宋_GB2312" w:hAnsi="Times New Roman" w:cs="Times New Roman"/>
          <w:sz w:val="32"/>
          <w:szCs w:val="32"/>
        </w:rPr>
      </w:pPr>
    </w:p>
    <w:p w:rsidR="001246E4" w:rsidRDefault="001246E4">
      <w:pPr>
        <w:spacing w:line="600" w:lineRule="exact"/>
        <w:ind w:firstLine="630"/>
        <w:rPr>
          <w:rFonts w:ascii="Times New Roman" w:eastAsia="仿宋_GB2312" w:hAnsi="Times New Roman" w:cs="Times New Roman"/>
          <w:sz w:val="32"/>
          <w:szCs w:val="32"/>
        </w:rPr>
      </w:pPr>
    </w:p>
    <w:p w:rsidR="001246E4" w:rsidRDefault="00CF1446">
      <w:pPr>
        <w:spacing w:line="600" w:lineRule="exact"/>
        <w:rPr>
          <w:rFonts w:ascii="仿宋_GB2312" w:eastAsia="仿宋_GB2312" w:hAnsi="Times New Roman" w:cs="Times New Roman"/>
          <w:sz w:val="28"/>
          <w:szCs w:val="28"/>
        </w:rPr>
      </w:pPr>
      <w:r>
        <w:rPr>
          <w:rFonts w:ascii="仿宋_GB2312" w:eastAsia="仿宋_GB2312" w:hAnsi="Times New Roman" w:cs="Times New Roman"/>
          <w:sz w:val="28"/>
          <w:szCs w:val="28"/>
        </w:rPr>
        <w:pict>
          <v:line id="_x0000_s1031" style="position:absolute;left:0;text-align:left;z-index:251663360" from="-.55pt,3.65pt" to="441.65pt,3.65pt" strokeweight=".35pt"/>
        </w:pict>
      </w:r>
      <w:r w:rsidR="003650ED">
        <w:rPr>
          <w:rFonts w:ascii="仿宋_GB2312" w:eastAsia="仿宋_GB2312" w:hAnsi="Times New Roman" w:cs="Times New Roman" w:hint="eastAsia"/>
          <w:sz w:val="28"/>
          <w:szCs w:val="28"/>
        </w:rPr>
        <w:t xml:space="preserve">  抄送：市委各部门，市人大常委会、市政协办公室，市人武部，市法院，</w:t>
      </w:r>
    </w:p>
    <w:p w:rsidR="001246E4" w:rsidRDefault="003650ED">
      <w:pPr>
        <w:spacing w:line="60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市检察院，各群众团体。                                    </w:t>
      </w:r>
    </w:p>
    <w:p w:rsidR="001246E4" w:rsidRDefault="00190C19">
      <w:pPr>
        <w:spacing w:line="600" w:lineRule="exact"/>
        <w:rPr>
          <w:rFonts w:ascii="仿宋_GB2312" w:eastAsia="仿宋_GB2312" w:hAnsi="Times New Roman" w:cs="Times New Roman"/>
          <w:sz w:val="28"/>
          <w:szCs w:val="28"/>
        </w:rPr>
      </w:pPr>
      <w:r>
        <w:rPr>
          <w:rFonts w:ascii="仿宋_GB2312" w:eastAsia="仿宋_GB2312" w:hAnsi="Times New Roman" w:cs="Times New Roman"/>
          <w:noProof/>
          <w:sz w:val="28"/>
          <w:szCs w:val="28"/>
        </w:rPr>
        <w:drawing>
          <wp:anchor distT="0" distB="0" distL="114300" distR="114300" simplePos="0" relativeHeight="251666432" behindDoc="0" locked="0" layoutInCell="1" allowOverlap="1">
            <wp:simplePos x="0" y="0"/>
            <wp:positionH relativeFrom="column">
              <wp:posOffset>3782695</wp:posOffset>
            </wp:positionH>
            <wp:positionV relativeFrom="paragraph">
              <wp:posOffset>582295</wp:posOffset>
            </wp:positionV>
            <wp:extent cx="1790700" cy="495300"/>
            <wp:effectExtent l="19050" t="0" r="0" b="0"/>
            <wp:wrapNone/>
            <wp:docPr id="1" name="图片 0" descr="通知_永政办发〔2020〕第42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通知_永政办发〔2020〕第42号.bmp"/>
                    <pic:cNvPicPr>
                      <a:picLocks noChangeAspect="1"/>
                    </pic:cNvPicPr>
                  </pic:nvPicPr>
                  <pic:blipFill>
                    <a:blip r:embed="rId11" cstate="print"/>
                    <a:stretch>
                      <a:fillRect/>
                    </a:stretch>
                  </pic:blipFill>
                  <pic:spPr>
                    <a:xfrm>
                      <a:off x="0" y="0"/>
                      <a:ext cx="1790700" cy="495300"/>
                    </a:xfrm>
                    <a:prstGeom prst="rect">
                      <a:avLst/>
                    </a:prstGeom>
                  </pic:spPr>
                </pic:pic>
              </a:graphicData>
            </a:graphic>
          </wp:anchor>
        </w:drawing>
      </w:r>
      <w:r w:rsidR="00CF1446">
        <w:rPr>
          <w:rFonts w:ascii="仿宋_GB2312" w:eastAsia="仿宋_GB2312" w:hAnsi="Times New Roman" w:cs="Times New Roman"/>
          <w:sz w:val="28"/>
          <w:szCs w:val="28"/>
        </w:rPr>
        <w:pict>
          <v:line id="_x0000_s1030" style="position:absolute;left:0;text-align:left;z-index:251662336;mso-position-horizontal-relative:text;mso-position-vertical-relative:text" from="-.55pt,-.15pt" to="441.65pt,-.15pt" strokeweight=".25pt"/>
        </w:pict>
      </w:r>
      <w:r w:rsidR="00CF1446">
        <w:rPr>
          <w:rFonts w:ascii="仿宋_GB2312" w:eastAsia="仿宋_GB2312" w:hAnsi="Times New Roman" w:cs="Times New Roman"/>
          <w:sz w:val="28"/>
          <w:szCs w:val="28"/>
        </w:rPr>
        <w:pict>
          <v:line id="_x0000_s1032" style="position:absolute;left:0;text-align:left;z-index:251664384;mso-position-horizontal-relative:text;mso-position-vertical-relative:text" from="-.55pt,34.35pt" to="441.65pt,34.35pt" strokeweight=".35pt"/>
        </w:pict>
      </w:r>
      <w:r w:rsidR="003650ED">
        <w:rPr>
          <w:rFonts w:ascii="仿宋_GB2312" w:eastAsia="仿宋_GB2312" w:hAnsi="Times New Roman" w:cs="Times New Roman" w:hint="eastAsia"/>
          <w:sz w:val="28"/>
          <w:szCs w:val="28"/>
        </w:rPr>
        <w:t xml:space="preserve">  永康市人民政府办公室                    </w:t>
      </w:r>
      <w:r w:rsidR="003650ED">
        <w:rPr>
          <w:rFonts w:ascii="Times New Roman" w:eastAsia="仿宋_GB2312" w:hAnsi="Times New Roman" w:cs="Times New Roman"/>
          <w:sz w:val="28"/>
          <w:szCs w:val="28"/>
        </w:rPr>
        <w:t xml:space="preserve"> 20</w:t>
      </w:r>
      <w:r w:rsidR="003650ED">
        <w:rPr>
          <w:rFonts w:ascii="Times New Roman" w:eastAsia="仿宋_GB2312" w:hAnsi="Times New Roman" w:cs="Times New Roman" w:hint="eastAsia"/>
          <w:sz w:val="28"/>
          <w:szCs w:val="28"/>
        </w:rPr>
        <w:t>20</w:t>
      </w:r>
      <w:r w:rsidR="003650ED">
        <w:rPr>
          <w:rFonts w:ascii="Times New Roman" w:eastAsia="仿宋_GB2312" w:hAnsi="Times New Roman" w:cs="Times New Roman"/>
          <w:sz w:val="28"/>
          <w:szCs w:val="28"/>
        </w:rPr>
        <w:t>年</w:t>
      </w:r>
      <w:r w:rsidR="003650ED">
        <w:rPr>
          <w:rFonts w:ascii="Times New Roman" w:eastAsia="仿宋_GB2312" w:hAnsi="Times New Roman" w:cs="Times New Roman" w:hint="eastAsia"/>
          <w:sz w:val="28"/>
          <w:szCs w:val="28"/>
        </w:rPr>
        <w:t>9</w:t>
      </w:r>
      <w:r w:rsidR="003650ED">
        <w:rPr>
          <w:rFonts w:ascii="Times New Roman" w:eastAsia="仿宋_GB2312" w:hAnsi="Times New Roman" w:cs="Times New Roman"/>
          <w:sz w:val="28"/>
          <w:szCs w:val="28"/>
        </w:rPr>
        <w:t>月</w:t>
      </w:r>
      <w:r w:rsidR="003650ED">
        <w:rPr>
          <w:rFonts w:ascii="Times New Roman" w:eastAsia="仿宋_GB2312" w:hAnsi="Times New Roman" w:cs="Times New Roman" w:hint="eastAsia"/>
          <w:sz w:val="28"/>
          <w:szCs w:val="28"/>
        </w:rPr>
        <w:t>2</w:t>
      </w:r>
      <w:r w:rsidR="003650ED">
        <w:rPr>
          <w:rFonts w:ascii="Times New Roman" w:eastAsia="仿宋_GB2312" w:hAnsi="Times New Roman" w:cs="Times New Roman"/>
          <w:sz w:val="28"/>
          <w:szCs w:val="28"/>
        </w:rPr>
        <w:t>日印</w:t>
      </w:r>
      <w:r w:rsidR="003650ED">
        <w:rPr>
          <w:rFonts w:ascii="仿宋_GB2312" w:eastAsia="仿宋_GB2312" w:hAnsi="Times New Roman" w:cs="Times New Roman" w:hint="eastAsia"/>
          <w:sz w:val="28"/>
          <w:szCs w:val="28"/>
        </w:rPr>
        <w:t xml:space="preserve">发      </w:t>
      </w:r>
    </w:p>
    <w:sectPr w:rsidR="001246E4" w:rsidSect="001246E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67D" w:rsidRDefault="008C567D" w:rsidP="001246E4">
      <w:r>
        <w:separator/>
      </w:r>
    </w:p>
  </w:endnote>
  <w:endnote w:type="continuationSeparator" w:id="0">
    <w:p w:rsidR="008C567D" w:rsidRDefault="008C567D" w:rsidP="001246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6E4" w:rsidRDefault="003650ED">
    <w:pPr>
      <w:pStyle w:val="a4"/>
      <w:ind w:firstLineChars="100" w:firstLine="280"/>
      <w:rPr>
        <w:rFonts w:asciiTheme="minorEastAsia" w:hAnsiTheme="minorEastAsia"/>
        <w:sz w:val="28"/>
        <w:szCs w:val="28"/>
      </w:rPr>
    </w:pPr>
    <w:r>
      <w:rPr>
        <w:rFonts w:asciiTheme="minorEastAsia" w:hAnsiTheme="minorEastAsia" w:hint="eastAsia"/>
        <w:sz w:val="28"/>
        <w:szCs w:val="28"/>
      </w:rPr>
      <w:t>—</w:t>
    </w:r>
    <w:sdt>
      <w:sdtPr>
        <w:rPr>
          <w:rFonts w:asciiTheme="minorEastAsia" w:hAnsiTheme="minorEastAsia"/>
          <w:sz w:val="28"/>
          <w:szCs w:val="28"/>
        </w:rPr>
        <w:id w:val="437833853"/>
      </w:sdtPr>
      <w:sdtContent>
        <w:r>
          <w:rPr>
            <w:rFonts w:asciiTheme="minorEastAsia" w:hAnsiTheme="minorEastAsia" w:hint="eastAsia"/>
            <w:sz w:val="28"/>
            <w:szCs w:val="28"/>
          </w:rPr>
          <w:t xml:space="preserve"> </w:t>
        </w:r>
        <w:r w:rsidR="00CF1446">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CF1446">
          <w:rPr>
            <w:rFonts w:asciiTheme="minorEastAsia" w:hAnsiTheme="minorEastAsia"/>
            <w:sz w:val="28"/>
            <w:szCs w:val="28"/>
          </w:rPr>
          <w:fldChar w:fldCharType="separate"/>
        </w:r>
        <w:r w:rsidR="00E83AC1" w:rsidRPr="00E83AC1">
          <w:rPr>
            <w:rFonts w:asciiTheme="minorEastAsia" w:hAnsiTheme="minorEastAsia"/>
            <w:noProof/>
            <w:sz w:val="28"/>
            <w:szCs w:val="28"/>
            <w:lang w:val="zh-CN"/>
          </w:rPr>
          <w:t>10</w:t>
        </w:r>
        <w:r w:rsidR="00CF1446">
          <w:rPr>
            <w:rFonts w:asciiTheme="minorEastAsia" w:hAnsiTheme="minorEastAsia"/>
            <w:sz w:val="28"/>
            <w:szCs w:val="28"/>
          </w:rPr>
          <w:fldChar w:fldCharType="end"/>
        </w:r>
        <w:r>
          <w:rPr>
            <w:rFonts w:asciiTheme="minorEastAsia" w:hAnsiTheme="minorEastAsia" w:hint="eastAsia"/>
            <w:sz w:val="28"/>
            <w:szCs w:val="28"/>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6E4" w:rsidRDefault="003650ED">
    <w:pPr>
      <w:pStyle w:val="a4"/>
      <w:ind w:right="28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w:t>
    </w:r>
    <w:sdt>
      <w:sdtPr>
        <w:rPr>
          <w:rFonts w:asciiTheme="majorEastAsia" w:eastAsiaTheme="majorEastAsia" w:hAnsiTheme="majorEastAsia"/>
          <w:sz w:val="28"/>
          <w:szCs w:val="28"/>
        </w:rPr>
        <w:id w:val="437833837"/>
      </w:sdtPr>
      <w:sdtContent>
        <w:r>
          <w:rPr>
            <w:rFonts w:asciiTheme="majorEastAsia" w:eastAsiaTheme="majorEastAsia" w:hAnsiTheme="majorEastAsia" w:hint="eastAsia"/>
            <w:sz w:val="28"/>
            <w:szCs w:val="28"/>
          </w:rPr>
          <w:t xml:space="preserve"> </w:t>
        </w:r>
        <w:r w:rsidR="00CF1446">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sidR="00CF1446">
          <w:rPr>
            <w:rFonts w:asciiTheme="majorEastAsia" w:eastAsiaTheme="majorEastAsia" w:hAnsiTheme="majorEastAsia"/>
            <w:sz w:val="28"/>
            <w:szCs w:val="28"/>
          </w:rPr>
          <w:fldChar w:fldCharType="separate"/>
        </w:r>
        <w:r w:rsidR="00E83AC1" w:rsidRPr="00E83AC1">
          <w:rPr>
            <w:rFonts w:asciiTheme="majorEastAsia" w:eastAsiaTheme="majorEastAsia" w:hAnsiTheme="majorEastAsia"/>
            <w:noProof/>
            <w:sz w:val="28"/>
            <w:szCs w:val="28"/>
            <w:lang w:val="zh-CN"/>
          </w:rPr>
          <w:t>9</w:t>
        </w:r>
        <w:r w:rsidR="00CF1446">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67D" w:rsidRDefault="008C567D" w:rsidP="001246E4">
      <w:r>
        <w:separator/>
      </w:r>
    </w:p>
  </w:footnote>
  <w:footnote w:type="continuationSeparator" w:id="0">
    <w:p w:rsidR="008C567D" w:rsidRDefault="008C567D" w:rsidP="00124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D13AB3"/>
    <w:multiLevelType w:val="singleLevel"/>
    <w:tmpl w:val="F0D13AB3"/>
    <w:lvl w:ilvl="0">
      <w:start w:val="2"/>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打字室">
    <w15:presenceInfo w15:providerId="None" w15:userId="打字室"/>
  </w15:person>
  <w15:person w15:author="周磊">
    <w15:presenceInfo w15:providerId="None" w15:userId="周磊"/>
  </w15:person>
  <w15:person w15:author="施志恒">
    <w15:presenceInfo w15:providerId="None" w15:userId="施志恒"/>
  </w15:person>
  <w15:person w15:author="">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Formatting/>
  <w:documentProtection w:edit="trackedChange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7B81BF5"/>
    <w:rsid w:val="000C0EA6"/>
    <w:rsid w:val="000C447D"/>
    <w:rsid w:val="001246E4"/>
    <w:rsid w:val="00181C6A"/>
    <w:rsid w:val="00190C19"/>
    <w:rsid w:val="002B7A70"/>
    <w:rsid w:val="002F5F33"/>
    <w:rsid w:val="0034599C"/>
    <w:rsid w:val="003650ED"/>
    <w:rsid w:val="003E02DC"/>
    <w:rsid w:val="003E0A4A"/>
    <w:rsid w:val="00450C16"/>
    <w:rsid w:val="004906CD"/>
    <w:rsid w:val="004B0D33"/>
    <w:rsid w:val="004B5E78"/>
    <w:rsid w:val="00567108"/>
    <w:rsid w:val="00676F0C"/>
    <w:rsid w:val="006775B4"/>
    <w:rsid w:val="006F2A09"/>
    <w:rsid w:val="007068B3"/>
    <w:rsid w:val="00707075"/>
    <w:rsid w:val="00746630"/>
    <w:rsid w:val="007F1C15"/>
    <w:rsid w:val="007F6908"/>
    <w:rsid w:val="00855961"/>
    <w:rsid w:val="008C567D"/>
    <w:rsid w:val="009F61D9"/>
    <w:rsid w:val="00A15CA6"/>
    <w:rsid w:val="00AC61EC"/>
    <w:rsid w:val="00B36AB8"/>
    <w:rsid w:val="00BF49FA"/>
    <w:rsid w:val="00C20592"/>
    <w:rsid w:val="00CF1446"/>
    <w:rsid w:val="00D128F3"/>
    <w:rsid w:val="00D27F3A"/>
    <w:rsid w:val="00DB540C"/>
    <w:rsid w:val="00E04429"/>
    <w:rsid w:val="00E609D1"/>
    <w:rsid w:val="00E670B9"/>
    <w:rsid w:val="00E83AC1"/>
    <w:rsid w:val="00E87F1C"/>
    <w:rsid w:val="00F07483"/>
    <w:rsid w:val="00F96036"/>
    <w:rsid w:val="00FD310B"/>
    <w:rsid w:val="00FF7BF5"/>
    <w:rsid w:val="04444BC0"/>
    <w:rsid w:val="05766647"/>
    <w:rsid w:val="0586333C"/>
    <w:rsid w:val="07B81BF5"/>
    <w:rsid w:val="0A9E4295"/>
    <w:rsid w:val="0B097BBE"/>
    <w:rsid w:val="0FB91120"/>
    <w:rsid w:val="126D085B"/>
    <w:rsid w:val="133B159A"/>
    <w:rsid w:val="15F40902"/>
    <w:rsid w:val="19130772"/>
    <w:rsid w:val="191F2882"/>
    <w:rsid w:val="1A140AFB"/>
    <w:rsid w:val="22152A09"/>
    <w:rsid w:val="24954AE1"/>
    <w:rsid w:val="29A13B5B"/>
    <w:rsid w:val="2FB337F8"/>
    <w:rsid w:val="30264611"/>
    <w:rsid w:val="3263767F"/>
    <w:rsid w:val="328C2E9E"/>
    <w:rsid w:val="33EE4D36"/>
    <w:rsid w:val="35DC5E71"/>
    <w:rsid w:val="38EA7393"/>
    <w:rsid w:val="48E01AAB"/>
    <w:rsid w:val="4AFF58B1"/>
    <w:rsid w:val="51802EA2"/>
    <w:rsid w:val="522559C5"/>
    <w:rsid w:val="5A7766EA"/>
    <w:rsid w:val="5AEF56F9"/>
    <w:rsid w:val="5FF64D13"/>
    <w:rsid w:val="6E0E495A"/>
    <w:rsid w:val="78394741"/>
    <w:rsid w:val="784C0A4A"/>
    <w:rsid w:val="79DE65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6E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1246E4"/>
    <w:rPr>
      <w:sz w:val="18"/>
      <w:szCs w:val="18"/>
    </w:rPr>
  </w:style>
  <w:style w:type="paragraph" w:styleId="a4">
    <w:name w:val="footer"/>
    <w:basedOn w:val="a"/>
    <w:link w:val="Char0"/>
    <w:uiPriority w:val="99"/>
    <w:qFormat/>
    <w:rsid w:val="001246E4"/>
    <w:pPr>
      <w:tabs>
        <w:tab w:val="center" w:pos="4153"/>
        <w:tab w:val="right" w:pos="8306"/>
      </w:tabs>
      <w:snapToGrid w:val="0"/>
      <w:jc w:val="left"/>
    </w:pPr>
    <w:rPr>
      <w:sz w:val="18"/>
      <w:szCs w:val="18"/>
    </w:rPr>
  </w:style>
  <w:style w:type="paragraph" w:styleId="a5">
    <w:name w:val="header"/>
    <w:basedOn w:val="a"/>
    <w:link w:val="Char1"/>
    <w:qFormat/>
    <w:rsid w:val="001246E4"/>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1246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sid w:val="001246E4"/>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1246E4"/>
    <w:rPr>
      <w:rFonts w:asciiTheme="minorHAnsi" w:eastAsiaTheme="minorEastAsia" w:hAnsiTheme="minorHAnsi" w:cstheme="minorBidi"/>
      <w:kern w:val="2"/>
      <w:sz w:val="18"/>
      <w:szCs w:val="18"/>
    </w:rPr>
  </w:style>
  <w:style w:type="paragraph" w:customStyle="1" w:styleId="Default">
    <w:name w:val="Default"/>
    <w:qFormat/>
    <w:rsid w:val="001246E4"/>
    <w:pPr>
      <w:widowControl w:val="0"/>
      <w:autoSpaceDE w:val="0"/>
      <w:autoSpaceDN w:val="0"/>
      <w:adjustRightInd w:val="0"/>
    </w:pPr>
    <w:rPr>
      <w:rFonts w:ascii="仿宋_GB2312" w:hAnsi="仿宋_GB2312" w:cs="仿宋_GB2312"/>
      <w:color w:val="000000"/>
      <w:sz w:val="24"/>
      <w:szCs w:val="24"/>
    </w:rPr>
  </w:style>
  <w:style w:type="character" w:customStyle="1" w:styleId="Char">
    <w:name w:val="批注框文本 Char"/>
    <w:basedOn w:val="a0"/>
    <w:link w:val="a3"/>
    <w:qFormat/>
    <w:rsid w:val="001246E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1"/>
    <customShpInfo spid="_x0000_s1030"/>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987464-2D37-400C-B3C6-C10C7708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690</Words>
  <Characters>3935</Characters>
  <Application>Microsoft Office Word</Application>
  <DocSecurity>0</DocSecurity>
  <Lines>32</Lines>
  <Paragraphs>9</Paragraphs>
  <ScaleCrop>false</ScaleCrop>
  <Company>微软中国</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果苒多</dc:creator>
  <cp:lastModifiedBy>打字室</cp:lastModifiedBy>
  <cp:revision>20</cp:revision>
  <cp:lastPrinted>2021-01-12T01:29:00Z</cp:lastPrinted>
  <dcterms:created xsi:type="dcterms:W3CDTF">2020-04-01T01:52:00Z</dcterms:created>
  <dcterms:modified xsi:type="dcterms:W3CDTF">2021-01-12T01:29:00Z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