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520" w:before="0" w:after="0"/>
        <w:ind w:right="0" w:firstLine="0"/>
        <w:rPr>
          <w:spacing w:val="0"/>
          <w:color w:val="000000"/>
          <w:position w:val="0"/>
          <w:sz w:val="36"/>
          <w:szCs w:val="36"/>
          <w:smallCaps w:val="0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36"/>
          <w:szCs w:val="36"/>
          <w:smallCaps w:val="0"/>
          <w:rFonts w:ascii="方正小标宋简体" w:eastAsia="方正小标宋简体" w:hAnsi="方正小标宋简体" w:hint="default"/>
        </w:rPr>
        <w:t>永康市发展和改革局</w:t>
      </w:r>
    </w:p>
    <w:p>
      <w:pPr>
        <w:numPr>
          <w:ilvl w:val="0"/>
          <w:numId w:val="0"/>
        </w:numPr>
        <w:jc w:val="center"/>
        <w:spacing w:lineRule="exact" w:line="520" w:before="0" w:after="0"/>
        <w:ind w:right="0" w:firstLine="0"/>
        <w:rPr>
          <w:spacing w:val="0"/>
          <w:color w:val="000000"/>
          <w:position w:val="0"/>
          <w:sz w:val="36"/>
          <w:szCs w:val="36"/>
          <w:smallCaps w:val="0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36"/>
          <w:szCs w:val="36"/>
          <w:smallCaps w:val="0"/>
          <w:rFonts w:ascii="方正小标宋简体" w:eastAsia="方正小标宋简体" w:hAnsi="方正小标宋简体" w:hint="default"/>
        </w:rPr>
        <w:t>2019年度政府信息公开工作年度报告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本年度报告根据《中华人民共和国政府信息公开条例》（以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下简称《条例》）规定，结合我局政府信息公开工作情况和统计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数据编制而成。全文包括总体情况、主动公开政府信息情况、收到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和处理政府信息公开申请情况、政府信息公开行政复议和行政诉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讼情况、存在的主要问题及改进情况、其他需要报告的事项六部分。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本报告可以在“中国永康”门户网站（</w:t>
      </w:r>
      <w:hyperlink r:id="rId5">
        <w:r>
          <w:rPr>
            <w:color w:val="auto"/>
            <w:position w:val="0"/>
            <w:sz w:val="32"/>
            <w:szCs w:val="32"/>
            <w:rFonts w:ascii="仿宋_GB2312" w:eastAsia="仿宋_GB2312" w:hAnsi="仿宋_GB2312" w:hint="default"/>
          </w:rPr>
          <w:t>www.yk.gov.cn</w:t>
        </w:r>
      </w:hyperlink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）上下载。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如对本报告有任何疑问，可与永康市发展和改革局办公室联系，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地址：永康市金城路25号，电话：0579-87101381。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一、总体情况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</w:t>
      </w: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t>2019年，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在市委、市政府的统一部署下，我局认真贯彻落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实《条例》，紧扣本单位的工作实际，</w:t>
      </w: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t>有序推进政府信息公开工</w:t>
      </w: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t>作开展，充分保障基层民众的知情权、参与权和监督权。现将我</w:t>
      </w: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t>局2019年度政府信息公开工作报告如下：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t xml:space="preserve">    </w:t>
      </w: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楷体_GB2312" w:eastAsia="楷体_GB2312" w:hAnsi="楷体_GB2312" w:hint="default"/>
        </w:rPr>
        <w:t>（一）加强组织领导。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把政府信息公开工作纳入全局重点目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标管理，分管领导具体抓，同时由办公室派专人负责政府信息公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开工作,各业务科室（单位）在职责范围内提供信息公开各项业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务资料，按程序审核统一发布，将政府信息公开工作与日常的信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息工作、电子政务工作相结合，确保工作有专门工作人员承办，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责任到人，层层落实。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b w:val="0"/>
          <w:color w:val="000000"/>
          <w:position w:val="0"/>
          <w:sz w:val="32"/>
          <w:szCs w:val="32"/>
          <w:rFonts w:ascii="楷体_GB2312" w:eastAsia="楷体_GB2312" w:hAnsi="楷体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highlight w:val="white"/>
          <w:rFonts w:ascii="仿宋_GB2312" w:eastAsia="仿宋_GB2312" w:hAnsi="仿宋_GB2312" w:hint="default"/>
        </w:rPr>
        <w:t xml:space="preserve">    </w:t>
      </w:r>
      <w:r>
        <w:rPr>
          <w:b w:val="0"/>
          <w:color w:val="000000"/>
          <w:position w:val="0"/>
          <w:sz w:val="32"/>
          <w:szCs w:val="32"/>
          <w:rFonts w:ascii="楷体_GB2312" w:eastAsia="楷体_GB2312" w:hAnsi="楷体_GB2312" w:hint="default"/>
        </w:rPr>
        <w:t>（二）丰富公开形式。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2019年，市发改局在市政府门户网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站发布信息473条。新建设“永康发改”微信公众号，发布信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息256条。内容涉及机构改革后机构职能、内设机构等信息、工作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动态、行政审批信息、价格监测、意见征求、资金公示、人事信息、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财务信息等。“行风热线”上线1次，办结信访件25件，积极</w:t>
      </w:r>
      <w:r>
        <w:rPr>
          <w:color w:val="000000"/>
          <w:position w:val="0"/>
          <w:sz w:val="32"/>
          <w:szCs w:val="32"/>
          <w:rFonts w:ascii="仿宋_GB2312" w:eastAsia="仿宋_GB2312" w:hAnsi="仿宋_GB2312" w:hint="default"/>
        </w:rPr>
        <w:t>回应社会关切。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二、主动公开政府信息情况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539" w:type="dxa"/>
        <w:tblLook w:val="000600" w:firstRow="0" w:lastRow="0" w:firstColumn="0" w:lastColumn="0" w:noHBand="1" w:noVBand="1"/>
        <w:tblLayout w:type="fixed"/>
      </w:tblPr>
      <w:tblGrid>
        <w:gridCol w:w="1080"/>
        <w:gridCol w:w="3198"/>
        <w:gridCol w:w="2550"/>
        <w:gridCol w:w="2711"/>
      </w:tblGrid>
      <w:tr>
        <w:trPr>
          <w:trHeight w:hRule="atleast" w:val="614"/>
          <w:hidden w:val="0"/>
        </w:trPr>
        <w:tc>
          <w:tcPr>
            <w:tcW w:type="dxa" w:w="9539"/>
            <w:vAlign w:val="center"/>
            <w:gridSpan w:val="4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第二十条第（一）项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信息内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本年新制作数量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本年新公开数量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对外公开总数量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规章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0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0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0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规范性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文件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0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0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</w:tr>
      <w:tr>
        <w:trPr>
          <w:trHeight w:hRule="atleast" w:val="614"/>
          <w:hidden w:val="0"/>
        </w:trPr>
        <w:tc>
          <w:tcPr>
            <w:tcW w:type="dxa" w:w="9539"/>
            <w:vAlign w:val="center"/>
            <w:gridSpan w:val="4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第二十条第（五）项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信息内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上一年项目数量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本年增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/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减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处理决定数量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行政许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可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5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其他对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外管理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服务事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</w:tr>
      <w:tr>
        <w:trPr>
          <w:trHeight w:hRule="atleast" w:val="614"/>
          <w:hidden w:val="0"/>
        </w:trPr>
        <w:tc>
          <w:tcPr>
            <w:tcW w:type="dxa" w:w="9539"/>
            <w:vAlign w:val="center"/>
            <w:gridSpan w:val="4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第二十条第（六）项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信息内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上一年项目数量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本年增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/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减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处理决定数量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行政处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罚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1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行政强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制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2711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</w:tr>
      <w:tr>
        <w:trPr>
          <w:trHeight w:hRule="atleast" w:val="614"/>
          <w:hidden w:val="0"/>
        </w:trPr>
        <w:tc>
          <w:tcPr>
            <w:tcW w:type="dxa" w:w="9539"/>
            <w:vAlign w:val="center"/>
            <w:gridSpan w:val="4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第二十条第（八）项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信息内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上一年项目数量</w:t>
            </w:r>
          </w:p>
        </w:tc>
        <w:tc>
          <w:tcPr>
            <w:tcW w:type="dxa" w:w="526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本年增</w:t>
            </w:r>
            <w:r>
              <w:rPr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/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减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行政事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业性收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526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</w:tr>
      <w:tr>
        <w:trPr>
          <w:trHeight w:hRule="atleast" w:val="614"/>
          <w:hidden w:val="0"/>
        </w:trPr>
        <w:tc>
          <w:tcPr>
            <w:tcW w:type="dxa" w:w="9539"/>
            <w:vAlign w:val="center"/>
            <w:gridSpan w:val="4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第二十条第（九）项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信息内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容</w:t>
            </w:r>
          </w:p>
        </w:tc>
        <w:tc>
          <w:tcPr>
            <w:tcW w:type="dxa" w:w="319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采购项目数量</w:t>
            </w:r>
          </w:p>
        </w:tc>
        <w:tc>
          <w:tcPr>
            <w:tcW w:type="dxa" w:w="526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采购总金额</w:t>
            </w:r>
          </w:p>
        </w:tc>
      </w:tr>
      <w:tr>
        <w:trPr>
          <w:trHeight w:hRule="atleast" w:val="614"/>
          <w:hidden w:val="0"/>
        </w:trPr>
        <w:tc>
          <w:tcPr>
            <w:tcW w:type="dxa" w:w="1080"/>
            <w:vAlign w:val="center"/>
            <w:tcBorders>
              <w:bottom w:val="single" w:color="000000" w:sz="8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政府集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中采购</w:t>
            </w:r>
          </w:p>
        </w:tc>
        <w:tc>
          <w:tcPr>
            <w:tcW w:type="dxa" w:w="3198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  <w:tc>
          <w:tcPr>
            <w:tcW w:type="dxa" w:w="5261"/>
            <w:vAlign w:val="center"/>
            <w:gridSpan w:val="2"/>
            <w:tcBorders>
              <w:bottom w:val="single" w:color="000000" w:sz="8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4"/>
                <w:szCs w:val="24"/>
                <w:smallCaps w:val="0"/>
                <w:rFonts w:ascii="宋体" w:eastAsia="宋体" w:hAnsi="宋体" w:hint="default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三、收到和处理政府信息公开申请情况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629" w:type="dxa"/>
        <w:tblLook w:val="000600" w:firstRow="0" w:lastRow="0" w:firstColumn="0" w:lastColumn="0" w:noHBand="1" w:noVBand="1"/>
        <w:tblLayout w:type="fixed"/>
      </w:tblPr>
      <w:tblGrid>
        <w:gridCol w:w="479"/>
        <w:gridCol w:w="780"/>
        <w:gridCol w:w="3000"/>
        <w:gridCol w:w="760"/>
        <w:gridCol w:w="760"/>
        <w:gridCol w:w="760"/>
        <w:gridCol w:w="760"/>
        <w:gridCol w:w="760"/>
        <w:gridCol w:w="760"/>
        <w:gridCol w:w="810"/>
      </w:tblGrid>
      <w:tr>
        <w:trPr>
          <w:trHeight w:hRule="atleast" w:val="360"/>
          <w:hidden w:val="0"/>
        </w:trPr>
        <w:tc>
          <w:tcPr>
            <w:tcW w:type="dxa" w:w="4259"/>
            <w:vAlign w:val="center"/>
            <w:gridSpan w:val="3"/>
            <w:vMerge w:val="restart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（本列数据的勾稽关系为：第一项加第二项之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和，等于第三项加第四项之和）</w:t>
            </w:r>
          </w:p>
        </w:tc>
        <w:tc>
          <w:tcPr>
            <w:tcW w:type="dxa" w:w="5370"/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申请人情况</w:t>
            </w:r>
          </w:p>
        </w:tc>
      </w:tr>
      <w:tr>
        <w:trPr>
          <w:trHeight w:hRule="atleast" w:val="360"/>
          <w:hidden w:val="0"/>
        </w:trPr>
        <w:tc>
          <w:tcPr>
            <w:tcW w:type="dxa" w:w="4259"/>
            <w:vAlign w:val="center"/>
            <w:gridSpan w:val="3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/>
        </w:tc>
        <w:tc>
          <w:tcPr>
            <w:tcW w:type="dxa" w:w="76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自然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人</w:t>
            </w:r>
          </w:p>
        </w:tc>
        <w:tc>
          <w:tcPr>
            <w:tcW w:type="dxa" w:w="3800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法人或其他组织</w:t>
            </w:r>
          </w:p>
        </w:tc>
        <w:tc>
          <w:tcPr>
            <w:tcW w:type="dxa" w:w="81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总计</w:t>
            </w:r>
          </w:p>
        </w:tc>
      </w:tr>
      <w:tr>
        <w:trPr>
          <w:trHeight w:hRule="atleast" w:val="360"/>
          <w:hidden w:val="0"/>
        </w:trPr>
        <w:tc>
          <w:tcPr>
            <w:tcW w:type="dxa" w:w="4259"/>
            <w:vAlign w:val="center"/>
            <w:gridSpan w:val="3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/>
        </w:tc>
        <w:tc>
          <w:tcPr>
            <w:tcW w:type="dxa" w:w="76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商业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企业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科研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机构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社会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公益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组织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法律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服务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机构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其他</w:t>
            </w:r>
          </w:p>
        </w:tc>
        <w:tc>
          <w:tcPr>
            <w:tcW w:type="dxa" w:w="81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/>
        </w:tc>
      </w:tr>
      <w:tr>
        <w:trPr>
          <w:trHeight w:hRule="atleast" w:val="420"/>
          <w:hidden w:val="0"/>
        </w:trPr>
        <w:tc>
          <w:tcPr>
            <w:tcW w:type="dxa" w:w="4259"/>
            <w:vAlign w:val="center"/>
            <w:gridSpan w:val="3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一、本年新收政府信息公开申请数量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</w:tr>
      <w:tr>
        <w:trPr>
          <w:trHeight w:hRule="atleast" w:val="420"/>
          <w:hidden w:val="0"/>
        </w:trPr>
        <w:tc>
          <w:tcPr>
            <w:tcW w:type="dxa" w:w="4259"/>
            <w:vAlign w:val="center"/>
            <w:gridSpan w:val="3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二、上年结转政府信息公开申请数量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 w:val="restart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三、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本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年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度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办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理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结</w:t>
            </w: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果</w:t>
            </w:r>
          </w:p>
        </w:tc>
        <w:tc>
          <w:tcPr>
            <w:tcW w:type="dxa" w:w="378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（一）予以公开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524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78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（二）部分公开（区分处理的，只计这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一情形，不计其他情形）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（三）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不予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公开</w:t>
            </w:r>
          </w:p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属于国家秘密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其他法律行政法规禁止公开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危及</w:t>
            </w: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“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三安全一稳定</w:t>
            </w: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”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保护第三方合法权益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属于三类内部事务信息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6.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属于四类过程性信息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7.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属于行政执法案卷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8.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属于行政查询事项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（四）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无法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提供</w:t>
            </w:r>
          </w:p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本机关不掌握相关政府信息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没有现成信息需要另行制作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补正后申请内容仍不明确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（五）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不予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处理</w:t>
            </w:r>
          </w:p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信访举报投诉类申请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重复申请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3.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要求提供公开出版物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无正当理由大量反复申请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54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78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0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5.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要求行政机关确认或重新出具</w:t>
            </w: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已获取信息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78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（六）其他处理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  <w:tr>
        <w:trPr>
          <w:trHeight w:hRule="atleast" w:val="420"/>
          <w:hidden w:val="0"/>
        </w:trPr>
        <w:tc>
          <w:tcPr>
            <w:tcW w:type="dxa" w:w="479"/>
            <w:vAlign w:val="center"/>
            <w:vMerge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78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楷体" w:eastAsia="楷体" w:hAnsi="楷体" w:hint="default"/>
              </w:rPr>
              <w:t>（七）总计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</w:t>
            </w:r>
          </w:p>
        </w:tc>
      </w:tr>
      <w:tr>
        <w:trPr>
          <w:trHeight w:hRule="atleast" w:val="420"/>
          <w:hidden w:val="0"/>
        </w:trPr>
        <w:tc>
          <w:tcPr>
            <w:tcW w:type="dxa" w:w="4259"/>
            <w:vAlign w:val="center"/>
            <w:gridSpan w:val="3"/>
            <w:tcBorders>
              <w:bottom w:val="single" w:color="000000" w:sz="8"/>
              <w:left w:val="single" w:color="000000" w:sz="8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四、结转下年度继续办理</w:t>
            </w:r>
          </w:p>
        </w:tc>
        <w:tc>
          <w:tcPr>
            <w:tcW w:type="dxa" w:w="760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760"/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  <w:tc>
          <w:tcPr>
            <w:tcW w:type="dxa" w:w="810"/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四、政府信息公开行政复议、行政诉讼情况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2019年度，我局未有收到政府信息公开行政复议、行政诉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讼。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五、存在的主要问题及改进情况</w:t>
      </w:r>
    </w:p>
    <w:p>
      <w:pPr>
        <w:numPr>
          <w:ilvl w:val="0"/>
          <w:numId w:val="0"/>
        </w:numPr>
        <w:jc w:val="both"/>
        <w:shd w:val="clear" w:fill="FFFFFF"/>
        <w:spacing w:lineRule="exact" w:line="52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555555"/>
          <w:position w:val="0"/>
          <w:sz w:val="32"/>
          <w:szCs w:val="32"/>
          <w:rFonts w:ascii="仿宋_GB2312" w:eastAsia="仿宋_GB2312" w:hAnsi="仿宋_GB2312" w:hint="default"/>
        </w:rPr>
        <w:t xml:space="preserve">    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2019年，在市委、市政府的正确领导下，</w:t>
      </w:r>
      <w:r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我局在政务公开</w:t>
      </w:r>
      <w:r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工作取得了一些成绩，但是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对标新形势、新要求和社会公众的期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盼，还存在一定差距和不足，如公开政府信息的意识还有待提高，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政府信息公开力度还有待加强，部分信息公开不够及时等。下一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步，我局将从以下方面进行改进。</w:t>
      </w:r>
    </w:p>
    <w:p>
      <w:pPr>
        <w:numPr>
          <w:ilvl w:val="0"/>
          <w:numId w:val="0"/>
        </w:numPr>
        <w:jc w:val="both"/>
        <w:shd w:val="clear" w:fill="FFFFFF"/>
        <w:spacing w:lineRule="exact" w:line="52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 一是开展业务培训，提升工作水平。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加强政府信息公开业务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的学习和培训，贯彻落实《条例》，进一步提高政府信息公开意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识和工作水平，推动信息公开工作制度化、规范化、常态化。</w:t>
      </w:r>
    </w:p>
    <w:p>
      <w:pPr>
        <w:numPr>
          <w:ilvl w:val="0"/>
          <w:numId w:val="0"/>
        </w:numPr>
        <w:jc w:val="both"/>
        <w:shd w:val="clear" w:fill="FFFFFF"/>
        <w:spacing w:lineRule="exact" w:line="52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 二是加大公开力度，完善目录编制。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结合本局职能工作，对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照《条例》公开要求，重新梳理、完善公开目录，开辟重点领域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信息公开专栏，及时准确公开社会公众所关注的问题，使公众查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询信息更直观、更直接、更便利。</w:t>
      </w:r>
    </w:p>
    <w:p>
      <w:pPr>
        <w:numPr>
          <w:ilvl w:val="0"/>
          <w:numId w:val="0"/>
        </w:numPr>
        <w:jc w:val="both"/>
        <w:shd w:val="clear" w:fill="FFFFFF"/>
        <w:spacing w:lineRule="exact" w:line="520" w:before="0" w:after="0"/>
        <w:ind w:right="0" w:firstLine="0"/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t>三是加强监督检查，确保落实到位。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加大对各科室信息报送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的监督，按照“公开是常态、不公开是例外”原则，切实做到全</w:t>
      </w:r>
      <w:r>
        <w:rPr>
          <w:spacing w:val="0"/>
          <w:i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面、及时、高质量地公开政府信息。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六、其他需要报告的事项</w:t>
      </w:r>
    </w:p>
    <w:p>
      <w:pPr>
        <w:numPr>
          <w:ilvl w:val="0"/>
          <w:numId w:val="0"/>
        </w:numPr>
        <w:jc w:val="left"/>
        <w:spacing w:lineRule="exact" w:line="52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 xml:space="preserve">    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无其他需要报告事项。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www.yk.gov.cn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148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