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412"/>
        <w:gridCol w:w="2438"/>
        <w:gridCol w:w="2182"/>
        <w:gridCol w:w="24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主动公开政府信息情况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永康市卫健局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本年新制作数量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本年新公开数量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本年增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增1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其他对外管理服务事项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本年增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本年增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政府集中采购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1279135元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填表人：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8"/>
          <w:szCs w:val="48"/>
          <w:u w:val="none"/>
          <w:bdr w:val="none" w:color="auto" w:sz="0" w:space="0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963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80"/>
        <w:gridCol w:w="301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9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收到和处理政府信息公开申请情况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永康市卫健局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27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55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2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8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27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27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属于国家秘密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其他法律行政法规禁止公开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3.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危及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三安全一稳定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4.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保护第三方合法权益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5.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属于三类内部事务信息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6.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属于四类过程性信息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7.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属于行政执法案卷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8.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属于行政查询事项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本机关不掌握相关政府信息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没有现成信息需要另行制作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3.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补正后申请内容仍不明确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信访举报投诉类申请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重复申请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3.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要求提供公开出版物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4.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无正当理由大量反复申请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5.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427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CCFF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审核人：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填表人：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3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853"/>
        <w:gridCol w:w="851"/>
        <w:gridCol w:w="851"/>
        <w:gridCol w:w="856"/>
        <w:gridCol w:w="851"/>
        <w:gridCol w:w="851"/>
        <w:gridCol w:w="855"/>
        <w:gridCol w:w="851"/>
        <w:gridCol w:w="851"/>
        <w:gridCol w:w="851"/>
        <w:gridCol w:w="851"/>
        <w:gridCol w:w="2000"/>
        <w:gridCol w:w="851"/>
        <w:gridCol w:w="8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3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政府信息公开行政复议、行政诉讼情况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单位：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永康市卫健局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2019年度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42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9678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4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5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CC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CC9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审核人：</w:t>
            </w:r>
          </w:p>
        </w:tc>
        <w:tc>
          <w:tcPr>
            <w:tcW w:w="3409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填表人：</w:t>
            </w:r>
          </w:p>
        </w:tc>
        <w:tc>
          <w:tcPr>
            <w:tcW w:w="4568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E7ACE"/>
    <w:rsid w:val="155349F7"/>
    <w:rsid w:val="1BA40A6E"/>
    <w:rsid w:val="28467859"/>
    <w:rsid w:val="2ABB25EF"/>
    <w:rsid w:val="353E506D"/>
    <w:rsid w:val="54DD28B8"/>
    <w:rsid w:val="5F5A2F80"/>
    <w:rsid w:val="63BF5971"/>
    <w:rsid w:val="659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21"/>
    <w:basedOn w:val="3"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2020-03-02T01:37:00Z</dcterms:created>
  <dc:creator>勇剑斩天罡</dc:creator>
  <cp:lastModifiedBy>勇剑斩天罡</cp:lastModifiedBy>
  <dcterms:modified xsi:type="dcterms:W3CDTF">2020-03-02T01:51:33Z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